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0B62AF">
        <w:rPr>
          <w:rFonts w:ascii="仿宋_GB2312" w:eastAsia="仿宋_GB2312" w:hint="eastAsia"/>
          <w:color w:val="000000"/>
          <w:sz w:val="32"/>
          <w:szCs w:val="32"/>
        </w:rPr>
        <w:t>审</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BB6A68">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134C5C">
        <w:rPr>
          <w:rFonts w:ascii="仿宋_GB2312" w:eastAsia="仿宋_GB2312" w:hAnsi="Times New Roman" w:hint="eastAsia"/>
          <w:sz w:val="32"/>
          <w:szCs w:val="32"/>
        </w:rPr>
        <w:t>7</w:t>
      </w:r>
      <w:r w:rsidRPr="00B8037D">
        <w:rPr>
          <w:rFonts w:ascii="仿宋_GB2312" w:eastAsia="仿宋_GB2312" w:hint="eastAsia"/>
          <w:sz w:val="32"/>
          <w:szCs w:val="32"/>
        </w:rPr>
        <w:t>号</w:t>
      </w:r>
    </w:p>
    <w:p w:rsidR="00AD182C" w:rsidRDefault="00AD182C" w:rsidP="00AD182C">
      <w:pPr>
        <w:spacing w:line="600" w:lineRule="exact"/>
        <w:jc w:val="center"/>
        <w:rPr>
          <w:rFonts w:ascii="Times New Roman" w:eastAsia="方正小标宋简体" w:hAnsi="Times New Roman"/>
          <w:bCs/>
          <w:sz w:val="32"/>
          <w:szCs w:val="32"/>
        </w:rPr>
      </w:pPr>
    </w:p>
    <w:p w:rsidR="009E2B19" w:rsidRPr="000E4CCF" w:rsidRDefault="009E2B19" w:rsidP="000E4CCF">
      <w:pPr>
        <w:snapToGrid w:val="0"/>
        <w:spacing w:line="620" w:lineRule="exact"/>
        <w:contextualSpacing/>
        <w:jc w:val="center"/>
        <w:rPr>
          <w:rFonts w:ascii="方正小标宋简体" w:eastAsia="方正小标宋简体" w:hAnsi="宋体"/>
          <w:sz w:val="44"/>
          <w:szCs w:val="44"/>
        </w:rPr>
      </w:pPr>
      <w:r w:rsidRPr="000E4CCF">
        <w:rPr>
          <w:rFonts w:ascii="方正小标宋简体" w:eastAsia="方正小标宋简体" w:hAnsi="宋体" w:hint="eastAsia"/>
          <w:sz w:val="44"/>
          <w:szCs w:val="44"/>
        </w:rPr>
        <w:t>关于印发《2018年滨海新区市场主体信用信息公示报告》的通知</w:t>
      </w:r>
    </w:p>
    <w:p w:rsidR="009E2B19" w:rsidRPr="009E2B19" w:rsidRDefault="009E2B19" w:rsidP="000E4CCF">
      <w:pPr>
        <w:snapToGrid w:val="0"/>
        <w:spacing w:line="620" w:lineRule="exact"/>
        <w:ind w:rightChars="-73" w:right="-153"/>
        <w:contextualSpacing/>
        <w:rPr>
          <w:rFonts w:ascii="方正小标宋简体" w:eastAsia="方正小标宋简体"/>
          <w:sz w:val="32"/>
          <w:szCs w:val="32"/>
        </w:rPr>
      </w:pPr>
      <w:bookmarkStart w:id="0" w:name="_GoBack"/>
      <w:bookmarkEnd w:id="0"/>
    </w:p>
    <w:p w:rsidR="009E2B19" w:rsidRPr="009E2B19" w:rsidRDefault="009E2B19" w:rsidP="000E4CCF">
      <w:pPr>
        <w:snapToGrid w:val="0"/>
        <w:spacing w:line="620" w:lineRule="exact"/>
        <w:ind w:rightChars="-73" w:right="-153"/>
        <w:contextualSpacing/>
        <w:rPr>
          <w:rFonts w:ascii="仿宋_GB2312" w:eastAsia="仿宋_GB2312"/>
          <w:sz w:val="32"/>
          <w:szCs w:val="32"/>
        </w:rPr>
      </w:pPr>
      <w:r w:rsidRPr="009E2B19">
        <w:rPr>
          <w:rFonts w:ascii="仿宋_GB2312" w:eastAsia="仿宋_GB2312" w:hint="eastAsia"/>
          <w:sz w:val="32"/>
          <w:szCs w:val="32"/>
        </w:rPr>
        <w:t>各功能区市场监管局</w:t>
      </w:r>
      <w:r w:rsidR="000B62AF">
        <w:rPr>
          <w:rFonts w:ascii="仿宋_GB2312" w:eastAsia="仿宋_GB2312" w:hint="eastAsia"/>
          <w:sz w:val="32"/>
          <w:szCs w:val="32"/>
        </w:rPr>
        <w:t>，</w:t>
      </w:r>
      <w:r w:rsidRPr="009E2B19">
        <w:rPr>
          <w:rFonts w:ascii="仿宋_GB2312" w:eastAsia="仿宋_GB2312" w:hint="eastAsia"/>
          <w:sz w:val="32"/>
          <w:szCs w:val="32"/>
        </w:rPr>
        <w:t>各市场监管所、各直属机构、机关各处室：</w:t>
      </w:r>
    </w:p>
    <w:p w:rsidR="009E2B19" w:rsidRPr="009E2B19" w:rsidRDefault="009E2B19" w:rsidP="000E4CCF">
      <w:pPr>
        <w:snapToGrid w:val="0"/>
        <w:spacing w:line="620" w:lineRule="exact"/>
        <w:ind w:firstLineChars="200" w:firstLine="640"/>
        <w:contextualSpacing/>
        <w:rPr>
          <w:rFonts w:ascii="仿宋_GB2312" w:eastAsia="仿宋_GB2312" w:hAnsi="宋体"/>
          <w:sz w:val="32"/>
          <w:szCs w:val="32"/>
        </w:rPr>
      </w:pPr>
      <w:r w:rsidRPr="009E2B19">
        <w:rPr>
          <w:rFonts w:ascii="仿宋_GB2312" w:eastAsia="仿宋_GB2312" w:hAnsi="宋体" w:hint="eastAsia"/>
          <w:sz w:val="32"/>
          <w:szCs w:val="32"/>
        </w:rPr>
        <w:t>《</w:t>
      </w:r>
      <w:r w:rsidRPr="009E2B19">
        <w:rPr>
          <w:rFonts w:ascii="仿宋_GB2312" w:eastAsia="仿宋_GB2312" w:hAnsi="宋体" w:cs="宋体" w:hint="eastAsia"/>
          <w:bCs/>
          <w:kern w:val="0"/>
          <w:sz w:val="32"/>
          <w:szCs w:val="32"/>
        </w:rPr>
        <w:t>2018年滨海新区市场主体信用信息公示报告</w:t>
      </w:r>
      <w:r w:rsidRPr="009E2B19">
        <w:rPr>
          <w:rFonts w:ascii="仿宋_GB2312" w:eastAsia="仿宋_GB2312" w:hAnsi="宋体" w:hint="eastAsia"/>
          <w:sz w:val="32"/>
          <w:szCs w:val="32"/>
        </w:rPr>
        <w:t>》已编制完成，现予印发。</w:t>
      </w:r>
    </w:p>
    <w:p w:rsidR="009E2B19" w:rsidRPr="009E2B19" w:rsidRDefault="009E2B19" w:rsidP="000E4CCF">
      <w:pPr>
        <w:snapToGrid w:val="0"/>
        <w:spacing w:line="620" w:lineRule="exact"/>
        <w:ind w:firstLineChars="200" w:firstLine="640"/>
        <w:contextualSpacing/>
        <w:rPr>
          <w:rFonts w:ascii="仿宋_GB2312" w:eastAsia="仿宋_GB2312" w:hAnsi="宋体"/>
          <w:sz w:val="32"/>
          <w:szCs w:val="32"/>
        </w:rPr>
      </w:pPr>
    </w:p>
    <w:p w:rsidR="009E2B19" w:rsidRPr="009E2B19" w:rsidRDefault="009E2B19" w:rsidP="000E4CCF">
      <w:pPr>
        <w:snapToGrid w:val="0"/>
        <w:spacing w:line="620" w:lineRule="exact"/>
        <w:ind w:firstLineChars="200" w:firstLine="640"/>
        <w:contextualSpacing/>
        <w:rPr>
          <w:rFonts w:ascii="仿宋_GB2312" w:eastAsia="仿宋_GB2312" w:hAnsi="宋体"/>
          <w:sz w:val="32"/>
          <w:szCs w:val="32"/>
        </w:rPr>
      </w:pPr>
      <w:r w:rsidRPr="009E2B19">
        <w:rPr>
          <w:rFonts w:ascii="仿宋_GB2312" w:eastAsia="仿宋_GB2312" w:hAnsi="宋体" w:hint="eastAsia"/>
          <w:sz w:val="32"/>
          <w:szCs w:val="32"/>
        </w:rPr>
        <w:t xml:space="preserve">                            </w:t>
      </w:r>
    </w:p>
    <w:p w:rsidR="000B62AF" w:rsidRDefault="009E2B19" w:rsidP="000E4CCF">
      <w:pPr>
        <w:snapToGrid w:val="0"/>
        <w:spacing w:line="620" w:lineRule="exact"/>
        <w:ind w:firstLineChars="1550" w:firstLine="4960"/>
        <w:contextualSpacing/>
        <w:rPr>
          <w:rFonts w:ascii="仿宋_GB2312" w:eastAsia="仿宋_GB2312" w:hAnsi="宋体"/>
          <w:sz w:val="32"/>
          <w:szCs w:val="32"/>
        </w:rPr>
      </w:pPr>
      <w:r w:rsidRPr="009E2B19">
        <w:rPr>
          <w:rFonts w:ascii="仿宋_GB2312" w:eastAsia="仿宋_GB2312" w:hAnsi="宋体" w:hint="eastAsia"/>
          <w:sz w:val="32"/>
          <w:szCs w:val="32"/>
        </w:rPr>
        <w:t xml:space="preserve"> </w:t>
      </w:r>
      <w:r w:rsidR="000B62AF">
        <w:rPr>
          <w:rFonts w:ascii="仿宋_GB2312" w:eastAsia="仿宋_GB2312" w:hAnsi="宋体" w:hint="eastAsia"/>
          <w:sz w:val="32"/>
          <w:szCs w:val="32"/>
        </w:rPr>
        <w:t xml:space="preserve"> </w:t>
      </w:r>
      <w:r w:rsidRPr="009E2B19">
        <w:rPr>
          <w:rFonts w:ascii="仿宋_GB2312" w:eastAsia="仿宋_GB2312" w:hAnsi="宋体" w:hint="eastAsia"/>
          <w:sz w:val="32"/>
          <w:szCs w:val="32"/>
        </w:rPr>
        <w:t>2019年1月1</w:t>
      </w:r>
      <w:r w:rsidR="00134C5C">
        <w:rPr>
          <w:rFonts w:ascii="仿宋_GB2312" w:eastAsia="仿宋_GB2312" w:hAnsi="宋体" w:hint="eastAsia"/>
          <w:sz w:val="32"/>
          <w:szCs w:val="32"/>
        </w:rPr>
        <w:t>6</w:t>
      </w:r>
      <w:r w:rsidRPr="009E2B19">
        <w:rPr>
          <w:rFonts w:ascii="仿宋_GB2312" w:eastAsia="仿宋_GB2312" w:hAnsi="宋体" w:hint="eastAsia"/>
          <w:sz w:val="32"/>
          <w:szCs w:val="32"/>
        </w:rPr>
        <w:t>日</w:t>
      </w:r>
    </w:p>
    <w:p w:rsidR="000B62AF" w:rsidRPr="009E2B19" w:rsidRDefault="000B62AF" w:rsidP="000B62AF">
      <w:pPr>
        <w:snapToGrid w:val="0"/>
        <w:spacing w:line="620" w:lineRule="exact"/>
        <w:ind w:firstLineChars="221" w:firstLine="707"/>
        <w:contextualSpacing/>
        <w:rPr>
          <w:rFonts w:ascii="仿宋_GB2312" w:eastAsia="仿宋_GB2312" w:hAnsi="宋体"/>
          <w:sz w:val="32"/>
          <w:szCs w:val="32"/>
        </w:rPr>
      </w:pPr>
      <w:r>
        <w:rPr>
          <w:rFonts w:ascii="仿宋_GB2312" w:eastAsia="仿宋_GB2312" w:hAnsi="宋体" w:hint="eastAsia"/>
          <w:sz w:val="32"/>
          <w:szCs w:val="32"/>
        </w:rPr>
        <w:t>（此件主动公开）</w:t>
      </w:r>
    </w:p>
    <w:p w:rsidR="009E2B19" w:rsidRPr="009E2B19" w:rsidRDefault="009E2B19" w:rsidP="000E4CCF">
      <w:pPr>
        <w:snapToGrid w:val="0"/>
        <w:spacing w:line="620" w:lineRule="exact"/>
        <w:contextualSpacing/>
        <w:rPr>
          <w:rFonts w:ascii="Times New Roman" w:eastAsia="方正小标宋简体" w:hAnsi="Times New Roman"/>
          <w:bCs/>
          <w:sz w:val="32"/>
          <w:szCs w:val="32"/>
        </w:rPr>
      </w:pPr>
    </w:p>
    <w:p w:rsidR="009E2B19" w:rsidRDefault="009E2B19" w:rsidP="009E2B19">
      <w:pPr>
        <w:spacing w:line="600" w:lineRule="exact"/>
        <w:rPr>
          <w:rFonts w:ascii="宋体" w:hAnsi="宋体"/>
          <w:b/>
          <w:sz w:val="44"/>
          <w:szCs w:val="44"/>
        </w:rPr>
      </w:pPr>
    </w:p>
    <w:p w:rsidR="009E2B19" w:rsidRPr="000E4CCF" w:rsidRDefault="009E2B19" w:rsidP="000E4CCF">
      <w:pPr>
        <w:snapToGrid w:val="0"/>
        <w:spacing w:line="620" w:lineRule="exact"/>
        <w:contextualSpacing/>
        <w:jc w:val="center"/>
        <w:rPr>
          <w:rFonts w:ascii="方正小标宋简体" w:eastAsia="方正小标宋简体" w:hAnsi="宋体"/>
          <w:sz w:val="44"/>
          <w:szCs w:val="44"/>
        </w:rPr>
      </w:pPr>
      <w:r w:rsidRPr="000E4CCF">
        <w:rPr>
          <w:rFonts w:ascii="方正小标宋简体" w:eastAsia="方正小标宋简体" w:hAnsi="宋体" w:hint="eastAsia"/>
          <w:sz w:val="44"/>
          <w:szCs w:val="44"/>
        </w:rPr>
        <w:t>2018年滨海新区市场主体信用信息</w:t>
      </w:r>
    </w:p>
    <w:p w:rsidR="009E2B19" w:rsidRPr="000E4CCF" w:rsidRDefault="009E2B19" w:rsidP="000E4CCF">
      <w:pPr>
        <w:snapToGrid w:val="0"/>
        <w:spacing w:line="620" w:lineRule="exact"/>
        <w:contextualSpacing/>
        <w:jc w:val="center"/>
        <w:rPr>
          <w:rFonts w:ascii="方正小标宋简体" w:eastAsia="方正小标宋简体" w:hAnsi="宋体"/>
          <w:sz w:val="44"/>
          <w:szCs w:val="44"/>
        </w:rPr>
      </w:pPr>
      <w:r w:rsidRPr="000E4CCF">
        <w:rPr>
          <w:rFonts w:ascii="方正小标宋简体" w:eastAsia="方正小标宋简体" w:hAnsi="宋体" w:hint="eastAsia"/>
          <w:sz w:val="44"/>
          <w:szCs w:val="44"/>
        </w:rPr>
        <w:t>公示报告</w:t>
      </w:r>
    </w:p>
    <w:p w:rsidR="009E2B19" w:rsidRPr="009E2B19" w:rsidRDefault="009E2B19" w:rsidP="000E4CCF">
      <w:pPr>
        <w:snapToGrid w:val="0"/>
        <w:spacing w:line="620" w:lineRule="exact"/>
        <w:ind w:firstLineChars="200" w:firstLine="720"/>
        <w:contextualSpacing/>
        <w:jc w:val="center"/>
        <w:rPr>
          <w:rFonts w:ascii="仿宋_GB2312" w:eastAsia="仿宋_GB2312" w:hAnsi="仿宋"/>
          <w:sz w:val="36"/>
          <w:szCs w:val="36"/>
        </w:rPr>
      </w:pP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2018年，滨海新区市场监管局积极推动市场主体信用体系建设，规范市场主体信用信息公示行为，加强市场主体2017年度报告工作，促进市场主体诚信自律。</w:t>
      </w:r>
    </w:p>
    <w:p w:rsidR="009E2B19" w:rsidRPr="000E4CCF" w:rsidRDefault="009E2B19" w:rsidP="000E4CCF">
      <w:pPr>
        <w:snapToGrid w:val="0"/>
        <w:spacing w:line="620" w:lineRule="exact"/>
        <w:ind w:firstLineChars="200" w:firstLine="640"/>
        <w:contextualSpacing/>
        <w:jc w:val="left"/>
        <w:rPr>
          <w:rFonts w:ascii="黑体" w:eastAsia="黑体" w:hAnsi="黑体"/>
          <w:sz w:val="32"/>
          <w:szCs w:val="32"/>
        </w:rPr>
      </w:pPr>
      <w:r w:rsidRPr="000E4CCF">
        <w:rPr>
          <w:rFonts w:ascii="黑体" w:eastAsia="黑体" w:hAnsi="黑体"/>
          <w:sz w:val="32"/>
          <w:szCs w:val="32"/>
        </w:rPr>
        <w:lastRenderedPageBreak/>
        <w:t>一、市场主体2017年度报告完成情况</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滨海新区是2017年度天津市企业年报工作试点单位，根据试点要求，试点单位仅通过宣传和通知联络员一次的方式督促企业年报，年报率较上一年度略有下降。</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在2017年度市场主体年度报告工作中，滨海新区应公示企业119211户，实际公示100101户，年度报告率83.97%。应公示个体工商户73133户，实际公示38057户，年度报告率52.04%。应公示农民专业合作社1055户，实际公示947户，年度报告率89.76%。</w:t>
      </w:r>
    </w:p>
    <w:p w:rsidR="009E2B19" w:rsidRPr="009E2B19" w:rsidRDefault="009E2B19" w:rsidP="000E4CCF">
      <w:pPr>
        <w:snapToGrid w:val="0"/>
        <w:spacing w:line="620" w:lineRule="exact"/>
        <w:ind w:firstLineChars="200" w:firstLine="640"/>
        <w:contextualSpacing/>
        <w:rPr>
          <w:rFonts w:ascii="Times New Roman" w:eastAsia="黑体" w:hAnsi="Times New Roman"/>
          <w:sz w:val="32"/>
          <w:szCs w:val="32"/>
        </w:rPr>
      </w:pPr>
      <w:r w:rsidRPr="009E2B19">
        <w:rPr>
          <w:rFonts w:ascii="Times New Roman" w:eastAsia="黑体" w:hAnsi="Times New Roman"/>
          <w:sz w:val="32"/>
          <w:szCs w:val="32"/>
        </w:rPr>
        <w:t>二、企业年度报告情况分析</w:t>
      </w:r>
    </w:p>
    <w:p w:rsidR="009E2B19" w:rsidRPr="009E2B19" w:rsidRDefault="009E2B19" w:rsidP="000E4CCF">
      <w:pPr>
        <w:snapToGrid w:val="0"/>
        <w:spacing w:line="620" w:lineRule="exact"/>
        <w:ind w:firstLineChars="200" w:firstLine="643"/>
        <w:contextualSpacing/>
        <w:rPr>
          <w:rFonts w:ascii="Times New Roman" w:eastAsia="楷体_GB2312" w:hAnsi="Times New Roman"/>
          <w:b/>
          <w:sz w:val="32"/>
          <w:szCs w:val="32"/>
        </w:rPr>
      </w:pPr>
      <w:r w:rsidRPr="009E2B19">
        <w:rPr>
          <w:rFonts w:ascii="Times New Roman" w:eastAsia="楷体_GB2312" w:hAnsi="Times New Roman"/>
          <w:b/>
          <w:sz w:val="32"/>
          <w:szCs w:val="32"/>
        </w:rPr>
        <w:t>（一）</w:t>
      </w:r>
      <w:r w:rsidRPr="009E2B19">
        <w:rPr>
          <w:rFonts w:ascii="Times New Roman" w:eastAsia="楷体_GB2312" w:hAnsi="Times New Roman" w:hint="eastAsia"/>
          <w:b/>
          <w:sz w:val="32"/>
          <w:szCs w:val="32"/>
        </w:rPr>
        <w:t>滨海新区</w:t>
      </w:r>
      <w:r w:rsidRPr="009E2B19">
        <w:rPr>
          <w:rFonts w:ascii="Times New Roman" w:eastAsia="楷体_GB2312" w:hAnsi="Times New Roman"/>
          <w:b/>
          <w:sz w:val="32"/>
          <w:szCs w:val="32"/>
        </w:rPr>
        <w:t>应年报企业数量迅速增长</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截至2018年，市场主体年度报告工作已经连续开展四年。四年以来，全市应年报企业累计增加229131户，平均增长率约为25.48%；滨海新区应年报企业累计增加64553户，平均增长率约为26.89%，超出全市约1.41个百分点。</w:t>
      </w:r>
    </w:p>
    <w:p w:rsidR="009E2B19" w:rsidRPr="009E2B19" w:rsidRDefault="009E2B19" w:rsidP="009E2B19"/>
    <w:p w:rsidR="009E2B19" w:rsidRPr="000E4CCF" w:rsidRDefault="009E2B19" w:rsidP="000E4CCF">
      <w:pPr>
        <w:jc w:val="center"/>
        <w:rPr>
          <w:rFonts w:ascii="宋体" w:hAnsi="宋体"/>
          <w:b/>
          <w:sz w:val="30"/>
          <w:szCs w:val="30"/>
        </w:rPr>
      </w:pPr>
      <w:r w:rsidRPr="00425F9A">
        <w:rPr>
          <w:noProof/>
        </w:rPr>
        <w:object w:dxaOrig="8900" w:dyaOrig="5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444.25pt;height:279.85pt;visibility:visible" o:ole="">
            <v:imagedata r:id="rId8" o:title=""/>
            <o:lock v:ext="edit" aspectratio="f"/>
          </v:shape>
          <o:OLEObject Type="Embed" ProgID="Excel.Sheet.8" ShapeID="图表 1" DrawAspect="Content" ObjectID="_1609658114" r:id="rId9">
            <o:FieldCodes>\s</o:FieldCodes>
          </o:OLEObject>
        </w:object>
      </w:r>
      <w:r w:rsidR="005D7E3F" w:rsidRPr="009E2B19">
        <w:rPr>
          <w:rFonts w:ascii="宋体" w:hAnsi="宋体" w:hint="eastAsia"/>
          <w:b/>
          <w:sz w:val="30"/>
          <w:szCs w:val="30"/>
        </w:rPr>
        <w:t>图一:2014-2017年应年报企业对比(单位:户)</w:t>
      </w:r>
    </w:p>
    <w:p w:rsidR="009E2B19" w:rsidRPr="009E2B19" w:rsidRDefault="009E2B19" w:rsidP="009E2B19">
      <w:pPr>
        <w:spacing w:line="600" w:lineRule="exact"/>
        <w:ind w:firstLineChars="200" w:firstLine="422"/>
        <w:jc w:val="center"/>
        <w:rPr>
          <w:rFonts w:ascii="楷体_GB2312" w:eastAsia="楷体_GB2312" w:hAnsi="仿宋"/>
          <w:b/>
          <w:szCs w:val="21"/>
        </w:rPr>
      </w:pPr>
      <w:r w:rsidRPr="009E2B19">
        <w:rPr>
          <w:rFonts w:ascii="楷体_GB2312" w:eastAsia="楷体_GB2312" w:hAnsi="仿宋" w:hint="eastAsia"/>
          <w:b/>
          <w:szCs w:val="21"/>
        </w:rPr>
        <w:t>部分数据来源于《企业和个体工商户年度报告业务系统》</w:t>
      </w:r>
    </w:p>
    <w:p w:rsidR="009E2B19" w:rsidRPr="009E2B19" w:rsidRDefault="009E2B19" w:rsidP="009E2B19">
      <w:pPr>
        <w:spacing w:line="600" w:lineRule="exact"/>
        <w:ind w:firstLineChars="150" w:firstLine="482"/>
        <w:jc w:val="left"/>
        <w:rPr>
          <w:rFonts w:ascii="楷体_GB2312" w:eastAsia="楷体_GB2312" w:hAnsi="仿宋"/>
          <w:b/>
          <w:sz w:val="32"/>
          <w:szCs w:val="32"/>
        </w:rPr>
      </w:pPr>
      <w:r w:rsidRPr="009E2B19">
        <w:rPr>
          <w:rFonts w:ascii="楷体_GB2312" w:eastAsia="楷体_GB2312" w:hAnsi="仿宋" w:hint="eastAsia"/>
          <w:b/>
          <w:sz w:val="32"/>
          <w:szCs w:val="32"/>
        </w:rPr>
        <w:t>（二）滨海新区企业年报率较去年略有下降</w:t>
      </w:r>
    </w:p>
    <w:p w:rsidR="009E2B19" w:rsidRPr="000E4CCF" w:rsidRDefault="009E2B19" w:rsidP="009E2B19">
      <w:pPr>
        <w:spacing w:line="560" w:lineRule="exact"/>
        <w:ind w:firstLineChars="200" w:firstLine="640"/>
        <w:rPr>
          <w:rFonts w:ascii="仿宋_GB2312" w:eastAsia="仿宋_GB2312" w:hAnsi="Times New Roman"/>
          <w:sz w:val="32"/>
          <w:szCs w:val="32"/>
        </w:rPr>
      </w:pPr>
      <w:r w:rsidRPr="000E4CCF">
        <w:rPr>
          <w:rFonts w:ascii="仿宋_GB2312" w:eastAsia="仿宋_GB2312" w:hAnsi="Times New Roman" w:hint="eastAsia"/>
          <w:sz w:val="32"/>
          <w:szCs w:val="32"/>
        </w:rPr>
        <w:t>在2017年度企业年报工作中，滨海新区应年度报告企业较2016年度增加18843户，同比增长18.78%。实际报送企业增加10853户，同比增长12.16%。</w:t>
      </w:r>
    </w:p>
    <w:p w:rsidR="009E2B19" w:rsidRPr="000E4CCF" w:rsidRDefault="009E2B19" w:rsidP="009E2B19">
      <w:pPr>
        <w:spacing w:line="560" w:lineRule="exact"/>
        <w:ind w:firstLineChars="200" w:firstLine="640"/>
        <w:rPr>
          <w:rFonts w:ascii="仿宋_GB2312" w:eastAsia="仿宋_GB2312" w:hAnsi="Times New Roman"/>
          <w:sz w:val="32"/>
          <w:szCs w:val="32"/>
        </w:rPr>
      </w:pPr>
      <w:r w:rsidRPr="000E4CCF">
        <w:rPr>
          <w:rFonts w:ascii="仿宋_GB2312" w:eastAsia="仿宋_GB2312" w:hAnsi="Times New Roman" w:hint="eastAsia"/>
          <w:sz w:val="32"/>
          <w:szCs w:val="32"/>
        </w:rPr>
        <w:t>作为试点单位，滨海新区按照要求，通过宣传和通知联络员一次的方式督促企业年报，年度报告率83.97%，略低于2016年年度报告率88.92%。从整体趋势上看，通过加大宣传等多种方式，滨海新区企业年报率仍会保持增长趋势。</w:t>
      </w:r>
    </w:p>
    <w:p w:rsidR="009E2B19" w:rsidRPr="009E2B19" w:rsidRDefault="009E2B19" w:rsidP="009E2B19">
      <w:pPr>
        <w:jc w:val="center"/>
        <w:rPr>
          <w:rFonts w:ascii="宋体" w:hAnsi="宋体"/>
          <w:b/>
          <w:sz w:val="30"/>
          <w:szCs w:val="30"/>
        </w:rPr>
      </w:pPr>
      <w:r w:rsidRPr="009E2B19">
        <w:rPr>
          <w:rFonts w:ascii="宋体" w:hAnsi="宋体" w:hint="eastAsia"/>
          <w:b/>
          <w:sz w:val="30"/>
          <w:szCs w:val="30"/>
        </w:rPr>
        <w:t>表一: 2016-2017年滨海新区实际年报企业占应年报企业</w:t>
      </w:r>
    </w:p>
    <w:p w:rsidR="009E2B19" w:rsidRPr="009E2B19" w:rsidRDefault="009E2B19" w:rsidP="009E2B19">
      <w:pPr>
        <w:jc w:val="center"/>
        <w:rPr>
          <w:rFonts w:ascii="宋体" w:hAnsi="宋体"/>
          <w:b/>
          <w:sz w:val="30"/>
          <w:szCs w:val="30"/>
        </w:rPr>
      </w:pPr>
      <w:r w:rsidRPr="009E2B19">
        <w:rPr>
          <w:rFonts w:ascii="宋体" w:hAnsi="宋体" w:hint="eastAsia"/>
          <w:b/>
          <w:sz w:val="30"/>
          <w:szCs w:val="30"/>
        </w:rPr>
        <w:t>比例一览(单位:户)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9E2B19" w:rsidRPr="009E2B19" w:rsidTr="006F2E6F">
        <w:trPr>
          <w:trHeight w:val="496"/>
        </w:trPr>
        <w:tc>
          <w:tcPr>
            <w:tcW w:w="2130" w:type="dxa"/>
            <w:shd w:val="clear" w:color="auto" w:fill="auto"/>
            <w:vAlign w:val="center"/>
          </w:tcPr>
          <w:p w:rsidR="009E2B19" w:rsidRPr="006F2E6F" w:rsidRDefault="009E2B19" w:rsidP="006F2E6F">
            <w:pPr>
              <w:jc w:val="center"/>
              <w:rPr>
                <w:rFonts w:ascii="宋体" w:hAnsi="宋体"/>
                <w:sz w:val="24"/>
                <w:szCs w:val="24"/>
              </w:rPr>
            </w:pPr>
            <w:r w:rsidRPr="006F2E6F">
              <w:rPr>
                <w:rFonts w:ascii="宋体" w:hAnsi="宋体"/>
                <w:sz w:val="24"/>
                <w:szCs w:val="24"/>
              </w:rPr>
              <w:lastRenderedPageBreak/>
              <w:t>年度</w:t>
            </w:r>
          </w:p>
        </w:tc>
        <w:tc>
          <w:tcPr>
            <w:tcW w:w="2130" w:type="dxa"/>
            <w:shd w:val="clear" w:color="auto" w:fill="auto"/>
            <w:vAlign w:val="center"/>
          </w:tcPr>
          <w:p w:rsidR="009E2B19" w:rsidRPr="006F2E6F" w:rsidRDefault="009E2B19" w:rsidP="006F2E6F">
            <w:pPr>
              <w:jc w:val="center"/>
              <w:rPr>
                <w:rFonts w:ascii="宋体" w:hAnsi="宋体"/>
                <w:sz w:val="24"/>
                <w:szCs w:val="24"/>
              </w:rPr>
            </w:pPr>
            <w:r w:rsidRPr="006F2E6F">
              <w:rPr>
                <w:rFonts w:ascii="宋体" w:hAnsi="宋体"/>
                <w:sz w:val="24"/>
                <w:szCs w:val="24"/>
              </w:rPr>
              <w:t>应年报企业</w:t>
            </w:r>
          </w:p>
        </w:tc>
        <w:tc>
          <w:tcPr>
            <w:tcW w:w="2131" w:type="dxa"/>
            <w:shd w:val="clear" w:color="auto" w:fill="auto"/>
            <w:vAlign w:val="center"/>
          </w:tcPr>
          <w:p w:rsidR="009E2B19" w:rsidRPr="006F2E6F" w:rsidRDefault="009E2B19" w:rsidP="006F2E6F">
            <w:pPr>
              <w:jc w:val="center"/>
              <w:rPr>
                <w:rFonts w:ascii="宋体" w:hAnsi="宋体"/>
                <w:sz w:val="24"/>
                <w:szCs w:val="24"/>
              </w:rPr>
            </w:pPr>
            <w:r w:rsidRPr="006F2E6F">
              <w:rPr>
                <w:rFonts w:ascii="宋体" w:hAnsi="宋体"/>
                <w:sz w:val="24"/>
                <w:szCs w:val="24"/>
              </w:rPr>
              <w:t>实际年报企业</w:t>
            </w:r>
          </w:p>
        </w:tc>
        <w:tc>
          <w:tcPr>
            <w:tcW w:w="2131" w:type="dxa"/>
            <w:shd w:val="clear" w:color="auto" w:fill="auto"/>
            <w:vAlign w:val="center"/>
          </w:tcPr>
          <w:p w:rsidR="009E2B19" w:rsidRPr="006F2E6F" w:rsidRDefault="009E2B19" w:rsidP="006F2E6F">
            <w:pPr>
              <w:jc w:val="center"/>
              <w:rPr>
                <w:rFonts w:ascii="宋体" w:hAnsi="宋体"/>
                <w:sz w:val="24"/>
                <w:szCs w:val="24"/>
              </w:rPr>
            </w:pPr>
            <w:r w:rsidRPr="006F2E6F">
              <w:rPr>
                <w:rFonts w:ascii="宋体" w:hAnsi="宋体"/>
                <w:sz w:val="24"/>
                <w:szCs w:val="24"/>
              </w:rPr>
              <w:t>占比</w:t>
            </w:r>
          </w:p>
        </w:tc>
      </w:tr>
      <w:tr w:rsidR="009E2B19" w:rsidRPr="009E2B19" w:rsidTr="006F2E6F">
        <w:tc>
          <w:tcPr>
            <w:tcW w:w="2130"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2016</w:t>
            </w:r>
          </w:p>
        </w:tc>
        <w:tc>
          <w:tcPr>
            <w:tcW w:w="2130"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100368</w:t>
            </w:r>
          </w:p>
        </w:tc>
        <w:tc>
          <w:tcPr>
            <w:tcW w:w="2131"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89248</w:t>
            </w:r>
          </w:p>
        </w:tc>
        <w:tc>
          <w:tcPr>
            <w:tcW w:w="2131"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88.92%</w:t>
            </w:r>
          </w:p>
        </w:tc>
      </w:tr>
      <w:tr w:rsidR="009E2B19" w:rsidRPr="009E2B19" w:rsidTr="006F2E6F">
        <w:tc>
          <w:tcPr>
            <w:tcW w:w="2130"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2017</w:t>
            </w:r>
          </w:p>
        </w:tc>
        <w:tc>
          <w:tcPr>
            <w:tcW w:w="2130"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119211</w:t>
            </w:r>
          </w:p>
        </w:tc>
        <w:tc>
          <w:tcPr>
            <w:tcW w:w="2131"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100101</w:t>
            </w:r>
          </w:p>
        </w:tc>
        <w:tc>
          <w:tcPr>
            <w:tcW w:w="2131" w:type="dxa"/>
            <w:shd w:val="clear" w:color="auto" w:fill="auto"/>
          </w:tcPr>
          <w:p w:rsidR="009E2B19" w:rsidRPr="009E2B19" w:rsidRDefault="009E2B19" w:rsidP="006F2E6F">
            <w:pPr>
              <w:spacing w:line="600" w:lineRule="exact"/>
              <w:jc w:val="center"/>
              <w:rPr>
                <w:rFonts w:ascii="Times New Roman" w:eastAsia="仿宋" w:hAnsi="Times New Roman"/>
                <w:sz w:val="24"/>
                <w:szCs w:val="24"/>
              </w:rPr>
            </w:pPr>
            <w:r w:rsidRPr="009E2B19">
              <w:rPr>
                <w:rFonts w:ascii="Times New Roman" w:eastAsia="仿宋" w:hAnsi="Times New Roman"/>
                <w:sz w:val="24"/>
                <w:szCs w:val="24"/>
              </w:rPr>
              <w:t>83.97%</w:t>
            </w:r>
          </w:p>
        </w:tc>
      </w:tr>
    </w:tbl>
    <w:p w:rsidR="009E2B19" w:rsidRPr="009E2B19" w:rsidRDefault="009E2B19" w:rsidP="009E2B19"/>
    <w:p w:rsidR="009E2B19" w:rsidRPr="009E2B19" w:rsidRDefault="009E2B19" w:rsidP="009E2B19">
      <w:r w:rsidRPr="00425F9A">
        <w:rPr>
          <w:noProof/>
        </w:rPr>
        <w:object w:dxaOrig="8324" w:dyaOrig="4868">
          <v:shape id="图表 2" o:spid="_x0000_i1026" type="#_x0000_t75" style="width:416.4pt;height:243.85pt;visibility:visible" o:ole="">
            <v:imagedata r:id="rId10" o:title=""/>
            <o:lock v:ext="edit" aspectratio="f"/>
          </v:shape>
          <o:OLEObject Type="Embed" ProgID="Excel.Sheet.8" ShapeID="图表 2" DrawAspect="Content" ObjectID="_1609658115" r:id="rId11">
            <o:FieldCodes>\s</o:FieldCodes>
          </o:OLEObject>
        </w:object>
      </w:r>
    </w:p>
    <w:p w:rsidR="009E2B19" w:rsidRPr="000E4CCF" w:rsidRDefault="005D7E3F" w:rsidP="000E4CCF">
      <w:pPr>
        <w:jc w:val="center"/>
        <w:rPr>
          <w:rFonts w:ascii="宋体" w:hAnsi="宋体"/>
          <w:b/>
          <w:sz w:val="30"/>
          <w:szCs w:val="30"/>
        </w:rPr>
      </w:pPr>
      <w:r w:rsidRPr="009E2B19">
        <w:rPr>
          <w:rFonts w:ascii="宋体" w:hAnsi="宋体" w:hint="eastAsia"/>
          <w:b/>
          <w:sz w:val="30"/>
          <w:szCs w:val="30"/>
        </w:rPr>
        <w:t>图二: 2016-2017年滨海新区企业年报情况对比(单位:户)</w:t>
      </w:r>
    </w:p>
    <w:p w:rsidR="009E2B19" w:rsidRPr="009E2B19" w:rsidRDefault="009E2B19" w:rsidP="000E4CCF">
      <w:pPr>
        <w:snapToGrid w:val="0"/>
        <w:spacing w:line="620" w:lineRule="exact"/>
        <w:ind w:firstLineChars="200" w:firstLine="643"/>
        <w:contextualSpacing/>
        <w:rPr>
          <w:rFonts w:ascii="楷体_GB2312" w:eastAsia="楷体_GB2312" w:hAnsi="仿宋"/>
          <w:b/>
          <w:sz w:val="32"/>
          <w:szCs w:val="32"/>
        </w:rPr>
      </w:pPr>
      <w:r w:rsidRPr="009E2B19">
        <w:rPr>
          <w:rFonts w:ascii="楷体_GB2312" w:eastAsia="楷体_GB2312" w:hAnsi="仿宋" w:hint="eastAsia"/>
          <w:b/>
          <w:sz w:val="32"/>
          <w:szCs w:val="32"/>
        </w:rPr>
        <w:t>（三）滨海新区新设企业年报率逐年提高，试点工作后略有下降</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自商事制度改革以来，为落实好“宽进严管”要求，树立“公示即监管”、“共享即监管”理念，</w:t>
      </w:r>
      <w:r w:rsidR="00A72272">
        <w:rPr>
          <w:rFonts w:ascii="仿宋_GB2312" w:eastAsia="仿宋_GB2312" w:hAnsi="Times New Roman" w:hint="eastAsia"/>
          <w:sz w:val="32"/>
          <w:szCs w:val="32"/>
        </w:rPr>
        <w:t>新</w:t>
      </w:r>
      <w:r w:rsidRPr="000E4CCF">
        <w:rPr>
          <w:rFonts w:ascii="仿宋_GB2312" w:eastAsia="仿宋_GB2312" w:hAnsi="Times New Roman" w:hint="eastAsia"/>
          <w:sz w:val="32"/>
          <w:szCs w:val="32"/>
        </w:rPr>
        <w:t>区市场监管局积极构建以信息公示为手段、以信用监管为核心的监管体制，向新设企业宣传年报公示相关制度。利用各种多媒体公众平台</w:t>
      </w:r>
      <w:r w:rsidR="00A72272">
        <w:rPr>
          <w:rFonts w:ascii="仿宋_GB2312" w:eastAsia="仿宋_GB2312" w:hAnsi="Times New Roman" w:hint="eastAsia"/>
          <w:sz w:val="32"/>
          <w:szCs w:val="32"/>
        </w:rPr>
        <w:t>宣传</w:t>
      </w:r>
      <w:r w:rsidRPr="000E4CCF">
        <w:rPr>
          <w:rFonts w:ascii="仿宋_GB2312" w:eastAsia="仿宋_GB2312" w:hAnsi="Times New Roman" w:hint="eastAsia"/>
          <w:sz w:val="32"/>
          <w:szCs w:val="32"/>
        </w:rPr>
        <w:t>年报公告，积极与辖区管委会、街镇、商务秘书企业联系，充分做好年报催报</w:t>
      </w:r>
      <w:r w:rsidRPr="000E4CCF">
        <w:rPr>
          <w:rFonts w:ascii="仿宋_GB2312" w:eastAsia="仿宋_GB2312" w:hAnsi="Times New Roman" w:hint="eastAsia"/>
          <w:sz w:val="32"/>
          <w:szCs w:val="32"/>
        </w:rPr>
        <w:lastRenderedPageBreak/>
        <w:t>和协助报送工作。企业对年报重视程度持续增强，社会公众对年报认知程度有了极大提升。</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2014年新设企业中，报送2014年度报告的企业比例为83.29%；2015年新设企业中，报送2015年度报告的企业比例为87.39%；2016年新设企业中，报送2016年度报告的企业比例为90.45%。报送2017年度报告适逢滨海新区开展2017年度天津市企业年报工作试点工作，因此新设企业设立年年报率较上一年度有所下降。2017年新设企业中，报送2017年度报告的企业比例为85.92%。</w:t>
      </w:r>
    </w:p>
    <w:p w:rsidR="009E2B19" w:rsidRPr="009E2B19" w:rsidRDefault="009E2B19" w:rsidP="000E4CCF">
      <w:pPr>
        <w:snapToGrid w:val="0"/>
        <w:spacing w:line="620" w:lineRule="exact"/>
        <w:ind w:firstLineChars="200" w:firstLine="643"/>
        <w:contextualSpacing/>
        <w:rPr>
          <w:rFonts w:ascii="楷体_GB2312" w:eastAsia="楷体_GB2312" w:hAnsi="仿宋"/>
          <w:b/>
          <w:sz w:val="32"/>
          <w:szCs w:val="32"/>
        </w:rPr>
      </w:pPr>
      <w:r w:rsidRPr="009E2B19">
        <w:rPr>
          <w:rFonts w:ascii="楷体_GB2312" w:eastAsia="楷体_GB2312" w:hAnsi="仿宋" w:hint="eastAsia"/>
          <w:b/>
          <w:sz w:val="32"/>
          <w:szCs w:val="32"/>
        </w:rPr>
        <w:t>（四）自贸区企业年报情况</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在2017年度市场主体年度报告工作中，自贸区应公示企业51233户，比2016年度增加8414户；实际公示42240户，比2016年度增加5892户。2017年度报告率82.45%，略低于2016年度报告率84.89%。</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应公示个体工商户8057户，比2016年度增加2326户；实际公示4984户，比2016年度增加1205户。2017年度报告率61.85%，略低于2016年度报告率65.94%。</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2017年度自贸区应公示企业占滨海新区应公示企业的42.98%，自贸区实际公示企业占滨海新区实际公示企业的42.2%。</w:t>
      </w:r>
    </w:p>
    <w:p w:rsidR="009E2B19" w:rsidRPr="009E2B19" w:rsidRDefault="009E2B19" w:rsidP="000E4CCF">
      <w:pPr>
        <w:snapToGrid w:val="0"/>
        <w:spacing w:line="620" w:lineRule="exact"/>
        <w:ind w:firstLineChars="200" w:firstLine="640"/>
        <w:contextualSpacing/>
        <w:rPr>
          <w:rFonts w:ascii="黑体" w:eastAsia="黑体" w:hAnsi="仿宋"/>
          <w:sz w:val="32"/>
          <w:szCs w:val="32"/>
        </w:rPr>
      </w:pPr>
      <w:r w:rsidRPr="009E2B19">
        <w:rPr>
          <w:rFonts w:ascii="黑体" w:eastAsia="黑体" w:hAnsi="仿宋" w:hint="eastAsia"/>
          <w:sz w:val="32"/>
          <w:szCs w:val="32"/>
        </w:rPr>
        <w:t>三、企业信用信息公示抽查情况</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lastRenderedPageBreak/>
        <w:t>2018年，为了保证企业信用信息公示数据真实性，新区市场监管局积极探索系统内部组织检查与向第三方购买服务相结合的方式，委托专业会计师事务所对企业年度报告情况进行核查，有效提升工作效率和工作质量。</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2018年，共抽查企业6884户，产生检查结果68840项，并委托会计师事务所对其中2636户企业年报信息进行审计。抽查企业中未发现问题户数4823户，列入异常名录1258户，发现问题已责令改正405户，注销、吊销60户。</w:t>
      </w:r>
    </w:p>
    <w:p w:rsidR="009E2B19" w:rsidRPr="009E2B19" w:rsidRDefault="009E2B19" w:rsidP="000E4CCF">
      <w:pPr>
        <w:snapToGrid w:val="0"/>
        <w:spacing w:line="620" w:lineRule="exact"/>
        <w:ind w:firstLineChars="200" w:firstLine="640"/>
        <w:contextualSpacing/>
        <w:rPr>
          <w:rFonts w:ascii="黑体" w:eastAsia="黑体" w:hAnsi="仿宋"/>
          <w:sz w:val="32"/>
          <w:szCs w:val="32"/>
        </w:rPr>
      </w:pPr>
      <w:r w:rsidRPr="009E2B19">
        <w:rPr>
          <w:rFonts w:ascii="黑体" w:eastAsia="黑体" w:hAnsi="仿宋" w:hint="eastAsia"/>
          <w:sz w:val="32"/>
          <w:szCs w:val="32"/>
        </w:rPr>
        <w:t>四、未公示信息市场主体的处理情况</w:t>
      </w:r>
    </w:p>
    <w:p w:rsidR="009E2B19" w:rsidRPr="009E2B19" w:rsidRDefault="009E2B19" w:rsidP="000E4CCF">
      <w:pPr>
        <w:snapToGrid w:val="0"/>
        <w:spacing w:line="620" w:lineRule="exact"/>
        <w:ind w:leftChars="-5" w:left="-10" w:firstLineChars="200" w:firstLine="643"/>
        <w:contextualSpacing/>
        <w:rPr>
          <w:rFonts w:ascii="楷体_GB2312" w:eastAsia="楷体_GB2312" w:hAnsi="仿宋"/>
          <w:b/>
          <w:sz w:val="32"/>
          <w:szCs w:val="32"/>
        </w:rPr>
      </w:pPr>
      <w:r w:rsidRPr="009E2B19">
        <w:rPr>
          <w:rFonts w:ascii="楷体_GB2312" w:eastAsia="楷体_GB2312" w:hAnsi="仿宋" w:hint="eastAsia"/>
          <w:b/>
          <w:sz w:val="32"/>
          <w:szCs w:val="32"/>
        </w:rPr>
        <w:t>（一）惩戒情况</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根据《企业经营异常名录管理暂行办法》，未按规定报送并公示2017年度报告的市场主体应列入经营异常名录或标记经营异常状态。2018年，共有25657户企业、114户农民专业合作被列入经营异常名录，36343户个体工商户被标记经营异常状态，信用风险类别为警示，通过天津市市场主体信用信息公示系统和全国企业信用信息公示系统公示，纳入联合惩戒范畴。</w:t>
      </w:r>
    </w:p>
    <w:p w:rsidR="009E2B19" w:rsidRPr="009E2B19" w:rsidRDefault="009E2B19" w:rsidP="000E4CCF">
      <w:pPr>
        <w:snapToGrid w:val="0"/>
        <w:spacing w:line="620" w:lineRule="exact"/>
        <w:ind w:firstLineChars="200" w:firstLine="643"/>
        <w:contextualSpacing/>
        <w:jc w:val="left"/>
        <w:rPr>
          <w:rFonts w:ascii="楷体_GB2312" w:eastAsia="楷体_GB2312" w:hAnsi="仿宋"/>
          <w:b/>
          <w:sz w:val="32"/>
          <w:szCs w:val="32"/>
        </w:rPr>
      </w:pPr>
      <w:r w:rsidRPr="009E2B19">
        <w:rPr>
          <w:rFonts w:ascii="楷体_GB2312" w:eastAsia="楷体_GB2312" w:hAnsi="仿宋" w:hint="eastAsia"/>
          <w:b/>
          <w:sz w:val="32"/>
          <w:szCs w:val="32"/>
        </w:rPr>
        <w:t>（二）矫正情况</w:t>
      </w:r>
    </w:p>
    <w:p w:rsidR="009E2B19" w:rsidRPr="000E4CCF" w:rsidRDefault="009E2B19" w:rsidP="000E4CCF">
      <w:pPr>
        <w:snapToGrid w:val="0"/>
        <w:spacing w:line="620" w:lineRule="exact"/>
        <w:ind w:firstLineChars="200" w:firstLine="640"/>
        <w:contextualSpacing/>
        <w:rPr>
          <w:rFonts w:ascii="仿宋_GB2312" w:eastAsia="仿宋_GB2312" w:hAnsi="Times New Roman"/>
          <w:sz w:val="32"/>
          <w:szCs w:val="32"/>
        </w:rPr>
      </w:pPr>
      <w:r w:rsidRPr="000E4CCF">
        <w:rPr>
          <w:rFonts w:ascii="仿宋_GB2312" w:eastAsia="仿宋_GB2312" w:hAnsi="Times New Roman" w:hint="eastAsia"/>
          <w:sz w:val="32"/>
          <w:szCs w:val="32"/>
        </w:rPr>
        <w:t>列入经营异常名录或标记经营异常状态是对企业失信行为的惩戒，移出经营异常名录或恢复正常经营状态是对企业失信行为的矫正。2018年，新区市场监管局严格依照法律法规规定的</w:t>
      </w:r>
      <w:r w:rsidRPr="000E4CCF">
        <w:rPr>
          <w:rFonts w:ascii="仿宋_GB2312" w:eastAsia="仿宋_GB2312" w:hAnsi="Times New Roman" w:hint="eastAsia"/>
          <w:sz w:val="32"/>
          <w:szCs w:val="32"/>
        </w:rPr>
        <w:lastRenderedPageBreak/>
        <w:t>程序和时限，加强年度报告真实性核查，依法为市场主体办理移出异常名录工作。共有4664户企业、43户农民专业合作社移出异常名录，2532户个体工商户恢复正常经营状态。</w:t>
      </w:r>
    </w:p>
    <w:p w:rsidR="009E2B19" w:rsidRPr="009E2B19" w:rsidRDefault="009E2B19" w:rsidP="000E4CCF">
      <w:pPr>
        <w:snapToGrid w:val="0"/>
        <w:spacing w:line="620" w:lineRule="exact"/>
        <w:ind w:firstLineChars="200" w:firstLine="640"/>
        <w:contextualSpacing/>
        <w:rPr>
          <w:rFonts w:ascii="黑体" w:eastAsia="黑体" w:hAnsi="仿宋"/>
          <w:sz w:val="32"/>
          <w:szCs w:val="32"/>
        </w:rPr>
      </w:pPr>
      <w:r w:rsidRPr="009E2B19">
        <w:rPr>
          <w:rFonts w:ascii="黑体" w:eastAsia="黑体" w:hAnsi="仿宋" w:hint="eastAsia"/>
          <w:sz w:val="32"/>
          <w:szCs w:val="32"/>
        </w:rPr>
        <w:t>五、年度报告问题分析</w:t>
      </w:r>
    </w:p>
    <w:p w:rsidR="009E2B19" w:rsidRPr="009E2B19" w:rsidRDefault="009E2B19" w:rsidP="000E4CCF">
      <w:pPr>
        <w:snapToGrid w:val="0"/>
        <w:spacing w:line="620" w:lineRule="exact"/>
        <w:ind w:firstLineChars="200" w:firstLine="640"/>
        <w:contextualSpacing/>
        <w:rPr>
          <w:rFonts w:ascii="Times New Roman" w:eastAsia="仿宋_GB2312" w:hAnsi="Times New Roman"/>
          <w:sz w:val="32"/>
          <w:szCs w:val="32"/>
        </w:rPr>
      </w:pPr>
      <w:r w:rsidRPr="009E2B19">
        <w:rPr>
          <w:rFonts w:ascii="Times New Roman" w:eastAsia="仿宋_GB2312" w:hAnsi="Times New Roman" w:hint="eastAsia"/>
          <w:sz w:val="32"/>
          <w:szCs w:val="32"/>
        </w:rPr>
        <w:t>虽然滨海新区市场主体年报率较高，但从抽查情况看，公示信息与实际情况不符的企业占比很重。造成年报准确率低主要原因主要是商事制度改革后，“宽进严管”导致市场主体迅速增加，但各类企业在规模、管理、经营者素质等方面存在较大差异，导致其年度报告质量参差不齐。一些规模较大、制度健全、管理规范的企业一般都设有专门的财务人员，其财务制度和财务报表等相关材料较为完善，在网上年度报告时，信息填报较为完善准确。一些小微企业的相关制度和机构设置不完善，没有聘请专门财务人员，对年度报告缺乏了解，重视程度不够。</w:t>
      </w:r>
    </w:p>
    <w:p w:rsidR="00AD182C" w:rsidRPr="00894C03" w:rsidRDefault="009E2B19" w:rsidP="000E4CCF">
      <w:pPr>
        <w:snapToGrid w:val="0"/>
        <w:spacing w:line="620" w:lineRule="exact"/>
        <w:ind w:firstLineChars="200" w:firstLine="640"/>
        <w:contextualSpacing/>
        <w:rPr>
          <w:rFonts w:ascii="Times New Roman" w:eastAsia="方正小标宋简体" w:hAnsi="Times New Roman"/>
          <w:bCs/>
          <w:sz w:val="32"/>
          <w:szCs w:val="32"/>
        </w:rPr>
      </w:pPr>
      <w:r w:rsidRPr="009E2B19">
        <w:rPr>
          <w:rFonts w:ascii="Times New Roman" w:eastAsia="仿宋_GB2312" w:hAnsi="Times New Roman" w:hint="eastAsia"/>
          <w:sz w:val="32"/>
          <w:szCs w:val="32"/>
        </w:rPr>
        <w:t>下一步，新区市场监管局将进一步拓展年度报告宣传工作，重点宣传信用信息对社会诚信体系建设的重大作用，强调不按时年报的法律后果和影响。推动信用信息在更多领域的广泛应用，发挥“一处失信、处处受限”的联合惩戒机制的倒逼作用，进一步提高企业主体责任意识，加强企业指导服务力度，不断强化企业诚信经营意识。促进市场主体更加重视信用信息，大力营造浓厚的诚信信用发展氛围。</w:t>
      </w:r>
    </w:p>
    <w:sectPr w:rsidR="00AD182C" w:rsidRPr="00894C03" w:rsidSect="00EE68EC">
      <w:headerReference w:type="default" r:id="rId12"/>
      <w:footerReference w:type="even" r:id="rId13"/>
      <w:footerReference w:type="default" r:id="rId14"/>
      <w:footerReference w:type="first" r:id="rId15"/>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A7" w:rsidRDefault="00B951A7">
      <w:r>
        <w:separator/>
      </w:r>
    </w:p>
  </w:endnote>
  <w:endnote w:type="continuationSeparator" w:id="0">
    <w:p w:rsidR="00B951A7" w:rsidRDefault="00B9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BC1455" w:rsidRDefault="0064003D">
          <w:pPr>
            <w:pStyle w:val="a4"/>
            <w:jc w:val="right"/>
            <w:rPr>
              <w:rFonts w:ascii="宋体" w:hAnsi="宋体"/>
              <w:color w:val="4F81BD"/>
              <w:sz w:val="28"/>
              <w:szCs w:val="28"/>
              <w:lang w:val="en-US" w:eastAsia="zh-CN"/>
            </w:rPr>
          </w:pPr>
          <w:r w:rsidRPr="00BC1455">
            <w:rPr>
              <w:rFonts w:ascii="宋体" w:hAnsi="宋体"/>
              <w:sz w:val="28"/>
              <w:szCs w:val="28"/>
              <w:lang w:val="en-US" w:eastAsia="zh-CN"/>
            </w:rPr>
            <w:fldChar w:fldCharType="begin"/>
          </w:r>
          <w:r w:rsidRPr="00BC1455">
            <w:rPr>
              <w:rFonts w:ascii="宋体" w:hAnsi="宋体"/>
              <w:sz w:val="28"/>
              <w:szCs w:val="28"/>
              <w:lang w:val="en-US" w:eastAsia="zh-CN"/>
            </w:rPr>
            <w:instrText xml:space="preserve"> PAGE   \* MERGEFORMAT </w:instrText>
          </w:r>
          <w:r w:rsidRPr="00BC1455">
            <w:rPr>
              <w:rFonts w:ascii="宋体" w:hAnsi="宋体"/>
              <w:sz w:val="28"/>
              <w:szCs w:val="28"/>
              <w:lang w:val="en-US" w:eastAsia="zh-CN"/>
            </w:rPr>
            <w:fldChar w:fldCharType="separate"/>
          </w:r>
          <w:r w:rsidR="00167402" w:rsidRPr="00167402">
            <w:rPr>
              <w:rFonts w:ascii="宋体" w:hAnsi="宋体"/>
              <w:noProof/>
              <w:color w:val="4F81BD"/>
              <w:sz w:val="28"/>
              <w:szCs w:val="28"/>
              <w:lang w:val="zh-CN" w:eastAsia="zh-CN"/>
            </w:rPr>
            <w:t>-</w:t>
          </w:r>
          <w:r w:rsidR="00167402">
            <w:rPr>
              <w:rFonts w:ascii="宋体" w:hAnsi="宋体"/>
              <w:noProof/>
              <w:sz w:val="28"/>
              <w:szCs w:val="28"/>
              <w:lang w:val="en-US" w:eastAsia="zh-CN"/>
            </w:rPr>
            <w:t xml:space="preserve"> 2 -</w:t>
          </w:r>
          <w:r w:rsidRPr="00BC1455">
            <w:rPr>
              <w:rFonts w:ascii="宋体" w:hAnsi="宋体"/>
              <w:sz w:val="28"/>
              <w:szCs w:val="28"/>
              <w:lang w:val="en-US" w:eastAsia="zh-CN"/>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167402" w:rsidRPr="00167402">
      <w:rPr>
        <w:rFonts w:ascii="宋体" w:hAnsi="宋体"/>
        <w:noProof/>
        <w:sz w:val="28"/>
        <w:szCs w:val="28"/>
        <w:lang w:val="zh-CN"/>
      </w:rPr>
      <w:t>-</w:t>
    </w:r>
    <w:r w:rsidR="00167402">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A7" w:rsidRDefault="00B951A7">
      <w:r>
        <w:separator/>
      </w:r>
    </w:p>
  </w:footnote>
  <w:footnote w:type="continuationSeparator" w:id="0">
    <w:p w:rsidR="00B951A7" w:rsidRDefault="00B9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B62AF"/>
    <w:rsid w:val="000D1D78"/>
    <w:rsid w:val="000E4CCF"/>
    <w:rsid w:val="000F6E49"/>
    <w:rsid w:val="00105871"/>
    <w:rsid w:val="00122B26"/>
    <w:rsid w:val="00134C5C"/>
    <w:rsid w:val="00167402"/>
    <w:rsid w:val="0018503E"/>
    <w:rsid w:val="00195A1E"/>
    <w:rsid w:val="001C6788"/>
    <w:rsid w:val="001D063B"/>
    <w:rsid w:val="002978B7"/>
    <w:rsid w:val="002C0A4B"/>
    <w:rsid w:val="002D6AC9"/>
    <w:rsid w:val="00300DBC"/>
    <w:rsid w:val="0034245D"/>
    <w:rsid w:val="00370C00"/>
    <w:rsid w:val="003A4616"/>
    <w:rsid w:val="003F2661"/>
    <w:rsid w:val="00443E53"/>
    <w:rsid w:val="00461523"/>
    <w:rsid w:val="004C2E56"/>
    <w:rsid w:val="005A1D14"/>
    <w:rsid w:val="005A5D0A"/>
    <w:rsid w:val="005D7E3F"/>
    <w:rsid w:val="005F7D90"/>
    <w:rsid w:val="00603591"/>
    <w:rsid w:val="0064003D"/>
    <w:rsid w:val="006C0D60"/>
    <w:rsid w:val="006D0561"/>
    <w:rsid w:val="006F2E6F"/>
    <w:rsid w:val="0070189A"/>
    <w:rsid w:val="007409A9"/>
    <w:rsid w:val="007C6326"/>
    <w:rsid w:val="007D293D"/>
    <w:rsid w:val="00814236"/>
    <w:rsid w:val="0083363C"/>
    <w:rsid w:val="00835E5A"/>
    <w:rsid w:val="00905B2B"/>
    <w:rsid w:val="00942849"/>
    <w:rsid w:val="009618BB"/>
    <w:rsid w:val="009A29B3"/>
    <w:rsid w:val="009E2B19"/>
    <w:rsid w:val="00A16468"/>
    <w:rsid w:val="00A6254D"/>
    <w:rsid w:val="00A72272"/>
    <w:rsid w:val="00A80DD4"/>
    <w:rsid w:val="00AD182C"/>
    <w:rsid w:val="00AE1E76"/>
    <w:rsid w:val="00B35FE3"/>
    <w:rsid w:val="00B3688C"/>
    <w:rsid w:val="00B951A7"/>
    <w:rsid w:val="00BB6A68"/>
    <w:rsid w:val="00BC1455"/>
    <w:rsid w:val="00BC27A6"/>
    <w:rsid w:val="00C82FB8"/>
    <w:rsid w:val="00C838BB"/>
    <w:rsid w:val="00D739E3"/>
    <w:rsid w:val="00DA3FA8"/>
    <w:rsid w:val="00DC1E42"/>
    <w:rsid w:val="00DE5155"/>
    <w:rsid w:val="00E13E49"/>
    <w:rsid w:val="00EA0DA0"/>
    <w:rsid w:val="00EE68EC"/>
    <w:rsid w:val="00F849FC"/>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lang w:val="x-none" w:eastAsia="x-none"/>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table" w:styleId="a8">
    <w:name w:val="Table Grid"/>
    <w:basedOn w:val="a1"/>
    <w:uiPriority w:val="59"/>
    <w:rsid w:val="009E2B1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0B62AF"/>
    <w:rPr>
      <w:sz w:val="18"/>
      <w:szCs w:val="18"/>
      <w:lang w:val="x-none" w:eastAsia="x-none"/>
    </w:rPr>
  </w:style>
  <w:style w:type="character" w:customStyle="1" w:styleId="Char2">
    <w:name w:val="批注框文本 Char"/>
    <w:link w:val="a9"/>
    <w:uiPriority w:val="99"/>
    <w:semiHidden/>
    <w:rsid w:val="000B62AF"/>
    <w:rPr>
      <w:kern w:val="2"/>
      <w:sz w:val="18"/>
      <w:szCs w:val="18"/>
    </w:rPr>
  </w:style>
  <w:style w:type="paragraph" w:styleId="aa">
    <w:name w:val="Date"/>
    <w:basedOn w:val="a"/>
    <w:next w:val="a"/>
    <w:link w:val="Char3"/>
    <w:uiPriority w:val="99"/>
    <w:semiHidden/>
    <w:unhideWhenUsed/>
    <w:rsid w:val="000B62AF"/>
    <w:pPr>
      <w:ind w:leftChars="2500" w:left="100"/>
    </w:pPr>
    <w:rPr>
      <w:lang w:val="x-none" w:eastAsia="x-none"/>
    </w:rPr>
  </w:style>
  <w:style w:type="character" w:customStyle="1" w:styleId="Char3">
    <w:name w:val="日期 Char"/>
    <w:link w:val="aa"/>
    <w:uiPriority w:val="99"/>
    <w:semiHidden/>
    <w:rsid w:val="000B62A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2.xls"/><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4E58-30FB-4FEC-92CB-D35C883E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420</Words>
  <Characters>2399</Characters>
  <Application>Microsoft Office Word</Application>
  <DocSecurity>0</DocSecurity>
  <Lines>19</Lines>
  <Paragraphs>5</Paragraphs>
  <ScaleCrop>false</ScaleCrop>
  <Company>微软中国</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2019-01-17T01:33:00Z</dcterms:created>
  <dcterms:modified xsi:type="dcterms:W3CDTF">2019-01-22T02:29:00Z</dcterms:modified>
</cp:coreProperties>
</file>