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C" w:rsidRPr="00E33F85" w:rsidRDefault="00AD182C" w:rsidP="00AD182C">
      <w:pPr>
        <w:snapToGrid w:val="0"/>
        <w:spacing w:line="200" w:lineRule="exact"/>
        <w:jc w:val="center"/>
        <w:rPr>
          <w:rFonts w:ascii="Times New Roman" w:eastAsia="仿宋_GB2312" w:hAnsi="Times New Roman"/>
          <w:sz w:val="18"/>
          <w:szCs w:val="18"/>
        </w:rPr>
      </w:pPr>
    </w:p>
    <w:p w:rsidR="00AD182C" w:rsidRDefault="00AD182C" w:rsidP="00AD182C">
      <w:pPr>
        <w:snapToGrid w:val="0"/>
        <w:spacing w:line="560" w:lineRule="exact"/>
        <w:jc w:val="center"/>
        <w:rPr>
          <w:rFonts w:ascii="仿宋_GB2312" w:eastAsia="仿宋_GB2312" w:hAnsi="Times New Roman"/>
          <w:color w:val="000000"/>
          <w:sz w:val="32"/>
          <w:szCs w:val="32"/>
        </w:rPr>
      </w:pPr>
      <w:r w:rsidRPr="00B8037D">
        <w:rPr>
          <w:rFonts w:ascii="仿宋_GB2312" w:eastAsia="仿宋_GB2312" w:hint="eastAsia"/>
          <w:color w:val="000000"/>
          <w:sz w:val="32"/>
          <w:szCs w:val="32"/>
        </w:rPr>
        <w:t>津滨市场监管</w:t>
      </w:r>
      <w:r w:rsidR="000D3A16">
        <w:rPr>
          <w:rFonts w:ascii="仿宋_GB2312" w:eastAsia="仿宋_GB2312" w:hint="eastAsia"/>
          <w:color w:val="000000"/>
          <w:sz w:val="32"/>
          <w:szCs w:val="32"/>
        </w:rPr>
        <w:t>竞争</w:t>
      </w:r>
      <w:r w:rsidRPr="00B8037D">
        <w:rPr>
          <w:rFonts w:ascii="仿宋_GB2312" w:eastAsia="仿宋_GB2312" w:hint="eastAsia"/>
          <w:color w:val="000000"/>
          <w:sz w:val="32"/>
          <w:szCs w:val="32"/>
        </w:rPr>
        <w:t>〔</w:t>
      </w:r>
      <w:r w:rsidR="00300DBC">
        <w:rPr>
          <w:rFonts w:ascii="仿宋_GB2312" w:eastAsia="仿宋_GB2312" w:hAnsi="Times New Roman" w:hint="eastAsia"/>
          <w:color w:val="000000"/>
          <w:sz w:val="32"/>
          <w:szCs w:val="32"/>
        </w:rPr>
        <w:t>201</w:t>
      </w:r>
      <w:r w:rsidR="00BB6A68">
        <w:rPr>
          <w:rFonts w:ascii="仿宋_GB2312" w:eastAsia="仿宋_GB2312" w:hAnsi="Times New Roman" w:hint="eastAsia"/>
          <w:color w:val="000000"/>
          <w:sz w:val="32"/>
          <w:szCs w:val="32"/>
        </w:rPr>
        <w:t>9</w:t>
      </w:r>
      <w:r w:rsidRPr="00B8037D">
        <w:rPr>
          <w:rFonts w:ascii="仿宋_GB2312" w:eastAsia="仿宋_GB2312" w:hint="eastAsia"/>
          <w:color w:val="000000"/>
          <w:sz w:val="32"/>
          <w:szCs w:val="32"/>
        </w:rPr>
        <w:t>〕</w:t>
      </w:r>
      <w:r w:rsidR="00905182">
        <w:rPr>
          <w:rFonts w:ascii="仿宋_GB2312" w:eastAsia="仿宋_GB2312" w:hAnsi="Times New Roman" w:hint="eastAsia"/>
          <w:sz w:val="32"/>
          <w:szCs w:val="32"/>
        </w:rPr>
        <w:t>3</w:t>
      </w:r>
      <w:r w:rsidRPr="00B8037D">
        <w:rPr>
          <w:rFonts w:ascii="仿宋_GB2312" w:eastAsia="仿宋_GB2312" w:hint="eastAsia"/>
          <w:sz w:val="32"/>
          <w:szCs w:val="32"/>
        </w:rPr>
        <w:t>号</w:t>
      </w:r>
    </w:p>
    <w:p w:rsidR="00AD182C" w:rsidRDefault="00AD182C" w:rsidP="00AD182C">
      <w:pPr>
        <w:spacing w:line="600" w:lineRule="exact"/>
        <w:jc w:val="center"/>
        <w:rPr>
          <w:rFonts w:ascii="Times New Roman" w:eastAsia="方正小标宋简体" w:hAnsi="Times New Roman"/>
          <w:bCs/>
          <w:sz w:val="32"/>
          <w:szCs w:val="32"/>
        </w:rPr>
      </w:pPr>
    </w:p>
    <w:p w:rsidR="000D3A16" w:rsidRPr="000D3A16" w:rsidRDefault="000D3A16" w:rsidP="00665B66">
      <w:pPr>
        <w:snapToGrid w:val="0"/>
        <w:spacing w:line="620" w:lineRule="exact"/>
        <w:contextualSpacing/>
        <w:jc w:val="center"/>
        <w:rPr>
          <w:rFonts w:ascii="方正小标宋简体" w:eastAsia="方正小标宋简体" w:hAnsi="宋体"/>
          <w:color w:val="000000"/>
          <w:sz w:val="44"/>
          <w:szCs w:val="44"/>
        </w:rPr>
      </w:pPr>
      <w:r w:rsidRPr="000D3A16">
        <w:rPr>
          <w:rFonts w:ascii="方正小标宋简体" w:eastAsia="方正小标宋简体" w:hAnsi="宋体" w:hint="eastAsia"/>
          <w:color w:val="000000"/>
          <w:sz w:val="44"/>
          <w:szCs w:val="44"/>
        </w:rPr>
        <w:t>关于印发《2018年滨海新区市场监管行政执法报告》的通知</w:t>
      </w:r>
    </w:p>
    <w:p w:rsidR="000D3A16" w:rsidRPr="000D3A16" w:rsidRDefault="000D3A16" w:rsidP="00665B66">
      <w:pPr>
        <w:spacing w:line="620" w:lineRule="exact"/>
        <w:contextualSpacing/>
        <w:jc w:val="left"/>
        <w:rPr>
          <w:rFonts w:ascii="仿宋_GB2312" w:eastAsia="仿宋_GB2312"/>
          <w:color w:val="000000"/>
          <w:sz w:val="32"/>
          <w:szCs w:val="32"/>
        </w:rPr>
      </w:pPr>
    </w:p>
    <w:p w:rsidR="000D3A16" w:rsidRPr="000D3A16" w:rsidRDefault="000D3A16" w:rsidP="00665B66">
      <w:pPr>
        <w:spacing w:line="620" w:lineRule="exact"/>
        <w:contextualSpacing/>
        <w:jc w:val="left"/>
        <w:rPr>
          <w:rFonts w:ascii="仿宋_GB2312" w:eastAsia="仿宋_GB2312"/>
          <w:color w:val="000000"/>
          <w:sz w:val="32"/>
          <w:szCs w:val="32"/>
        </w:rPr>
      </w:pPr>
      <w:r>
        <w:rPr>
          <w:rFonts w:ascii="仿宋_GB2312" w:eastAsia="仿宋_GB2312" w:hint="eastAsia"/>
          <w:color w:val="000000"/>
          <w:sz w:val="32"/>
          <w:szCs w:val="32"/>
        </w:rPr>
        <w:t>各功能区市场监管</w:t>
      </w:r>
      <w:bookmarkStart w:id="0" w:name="_GoBack"/>
      <w:bookmarkEnd w:id="0"/>
      <w:r>
        <w:rPr>
          <w:rFonts w:ascii="仿宋_GB2312" w:eastAsia="仿宋_GB2312" w:hint="eastAsia"/>
          <w:color w:val="000000"/>
          <w:sz w:val="32"/>
          <w:szCs w:val="32"/>
        </w:rPr>
        <w:t>局</w:t>
      </w:r>
      <w:r w:rsidR="00567C7B">
        <w:rPr>
          <w:rFonts w:ascii="仿宋_GB2312" w:eastAsia="仿宋_GB2312" w:hint="eastAsia"/>
          <w:color w:val="000000"/>
          <w:sz w:val="32"/>
          <w:szCs w:val="32"/>
        </w:rPr>
        <w:t>，</w:t>
      </w:r>
      <w:r>
        <w:rPr>
          <w:rFonts w:ascii="仿宋_GB2312" w:eastAsia="仿宋_GB2312" w:hint="eastAsia"/>
          <w:color w:val="000000"/>
          <w:sz w:val="32"/>
          <w:szCs w:val="32"/>
        </w:rPr>
        <w:t>各市场监管所、</w:t>
      </w:r>
      <w:r w:rsidR="00567C7B">
        <w:rPr>
          <w:rFonts w:ascii="仿宋_GB2312" w:eastAsia="仿宋_GB2312" w:hint="eastAsia"/>
          <w:color w:val="000000"/>
          <w:sz w:val="32"/>
          <w:szCs w:val="32"/>
        </w:rPr>
        <w:t>各办事处、</w:t>
      </w:r>
      <w:r>
        <w:rPr>
          <w:rFonts w:ascii="仿宋_GB2312" w:eastAsia="仿宋_GB2312" w:hint="eastAsia"/>
          <w:color w:val="000000"/>
          <w:sz w:val="32"/>
          <w:szCs w:val="32"/>
        </w:rPr>
        <w:t>机关各处室</w:t>
      </w:r>
      <w:r w:rsidRPr="000D3A16">
        <w:rPr>
          <w:rFonts w:ascii="仿宋_GB2312" w:eastAsia="仿宋_GB2312" w:hint="eastAsia"/>
          <w:color w:val="000000"/>
          <w:sz w:val="32"/>
          <w:szCs w:val="32"/>
        </w:rPr>
        <w:t>：</w:t>
      </w:r>
    </w:p>
    <w:p w:rsidR="000D3A16" w:rsidRPr="000D3A16" w:rsidRDefault="000D3A16" w:rsidP="00665B66">
      <w:pPr>
        <w:spacing w:line="620" w:lineRule="exact"/>
        <w:ind w:firstLine="645"/>
        <w:contextualSpacing/>
        <w:jc w:val="left"/>
        <w:rPr>
          <w:rFonts w:ascii="仿宋_GB2312" w:eastAsia="仿宋_GB2312"/>
          <w:color w:val="000000"/>
          <w:sz w:val="32"/>
          <w:szCs w:val="32"/>
        </w:rPr>
      </w:pPr>
      <w:r w:rsidRPr="000D3A16">
        <w:rPr>
          <w:rFonts w:ascii="仿宋_GB2312" w:eastAsia="仿宋_GB2312" w:hint="eastAsia"/>
          <w:color w:val="000000"/>
          <w:sz w:val="32"/>
          <w:szCs w:val="32"/>
        </w:rPr>
        <w:t>《2018年滨海新区市场监管行政执法报告》已编制完成，现予以印发。</w:t>
      </w:r>
    </w:p>
    <w:p w:rsidR="000D3A16" w:rsidRPr="000D3A16" w:rsidRDefault="000D3A16" w:rsidP="00665B66">
      <w:pPr>
        <w:spacing w:line="620" w:lineRule="exact"/>
        <w:ind w:firstLine="645"/>
        <w:contextualSpacing/>
        <w:jc w:val="left"/>
        <w:rPr>
          <w:rFonts w:ascii="仿宋_GB2312" w:eastAsia="仿宋_GB2312"/>
          <w:color w:val="000000"/>
          <w:sz w:val="32"/>
          <w:szCs w:val="32"/>
        </w:rPr>
      </w:pPr>
    </w:p>
    <w:p w:rsidR="000D3A16" w:rsidRPr="000D3A16" w:rsidRDefault="000D3A16" w:rsidP="00665B66">
      <w:pPr>
        <w:spacing w:line="620" w:lineRule="exact"/>
        <w:ind w:firstLine="645"/>
        <w:contextualSpacing/>
        <w:jc w:val="left"/>
        <w:rPr>
          <w:rFonts w:ascii="仿宋_GB2312" w:eastAsia="仿宋_GB2312"/>
          <w:color w:val="000000"/>
          <w:sz w:val="32"/>
          <w:szCs w:val="32"/>
        </w:rPr>
      </w:pPr>
      <w:r w:rsidRPr="000D3A16">
        <w:rPr>
          <w:rFonts w:ascii="仿宋_GB2312" w:eastAsia="仿宋_GB2312" w:hint="eastAsia"/>
          <w:color w:val="000000"/>
          <w:sz w:val="32"/>
          <w:szCs w:val="32"/>
        </w:rPr>
        <w:t xml:space="preserve">                             </w:t>
      </w:r>
    </w:p>
    <w:p w:rsidR="000D3A16" w:rsidRPr="000D3A16" w:rsidRDefault="000D3A16" w:rsidP="00665B66">
      <w:pPr>
        <w:spacing w:line="620" w:lineRule="exact"/>
        <w:ind w:firstLineChars="1550" w:firstLine="4960"/>
        <w:contextualSpacing/>
        <w:jc w:val="left"/>
        <w:rPr>
          <w:rFonts w:ascii="仿宋_GB2312" w:eastAsia="仿宋_GB2312"/>
          <w:color w:val="000000"/>
          <w:sz w:val="32"/>
          <w:szCs w:val="32"/>
        </w:rPr>
      </w:pPr>
      <w:r w:rsidRPr="000D3A16">
        <w:rPr>
          <w:rFonts w:ascii="仿宋_GB2312" w:eastAsia="仿宋_GB2312" w:hint="eastAsia"/>
          <w:color w:val="000000"/>
          <w:sz w:val="32"/>
          <w:szCs w:val="32"/>
        </w:rPr>
        <w:t>201</w:t>
      </w:r>
      <w:r>
        <w:rPr>
          <w:rFonts w:ascii="仿宋_GB2312" w:eastAsia="仿宋_GB2312" w:hint="eastAsia"/>
          <w:color w:val="000000"/>
          <w:sz w:val="32"/>
          <w:szCs w:val="32"/>
        </w:rPr>
        <w:t>9</w:t>
      </w:r>
      <w:r w:rsidRPr="000D3A16">
        <w:rPr>
          <w:rFonts w:ascii="仿宋_GB2312" w:eastAsia="仿宋_GB2312" w:hint="eastAsia"/>
          <w:color w:val="000000"/>
          <w:sz w:val="32"/>
          <w:szCs w:val="32"/>
        </w:rPr>
        <w:t>年1月1</w:t>
      </w:r>
      <w:r w:rsidR="00905182">
        <w:rPr>
          <w:rFonts w:ascii="仿宋_GB2312" w:eastAsia="仿宋_GB2312" w:hint="eastAsia"/>
          <w:color w:val="000000"/>
          <w:sz w:val="32"/>
          <w:szCs w:val="32"/>
        </w:rPr>
        <w:t>4</w:t>
      </w:r>
      <w:r w:rsidRPr="000D3A16">
        <w:rPr>
          <w:rFonts w:ascii="仿宋_GB2312" w:eastAsia="仿宋_GB2312" w:hint="eastAsia"/>
          <w:color w:val="000000"/>
          <w:sz w:val="32"/>
          <w:szCs w:val="32"/>
        </w:rPr>
        <w:t>日</w:t>
      </w:r>
    </w:p>
    <w:p w:rsidR="000D3A16" w:rsidRPr="000D3A16" w:rsidRDefault="000D3A16" w:rsidP="00665B66">
      <w:pPr>
        <w:spacing w:line="620" w:lineRule="exact"/>
        <w:ind w:firstLineChars="200" w:firstLine="640"/>
        <w:contextualSpacing/>
      </w:pPr>
      <w:r w:rsidRPr="000D3A16">
        <w:rPr>
          <w:rFonts w:ascii="仿宋_GB2312" w:eastAsia="仿宋_GB2312" w:hint="eastAsia"/>
          <w:color w:val="000000"/>
          <w:sz w:val="32"/>
          <w:szCs w:val="32"/>
        </w:rPr>
        <w:t>（此件主动公开）</w:t>
      </w:r>
    </w:p>
    <w:p w:rsidR="00A6507C" w:rsidRDefault="00A6507C" w:rsidP="00A6507C">
      <w:pPr>
        <w:spacing w:line="620" w:lineRule="exact"/>
        <w:contextualSpacing/>
        <w:jc w:val="center"/>
        <w:rPr>
          <w:rFonts w:ascii="方正小标宋简体" w:eastAsia="方正小标宋简体" w:hAnsi="宋体" w:cs="宋体"/>
          <w:sz w:val="44"/>
          <w:szCs w:val="44"/>
        </w:rPr>
      </w:pPr>
    </w:p>
    <w:p w:rsidR="00A6507C" w:rsidRDefault="00A6507C" w:rsidP="00A6507C">
      <w:pPr>
        <w:spacing w:line="620" w:lineRule="exact"/>
        <w:contextualSpacing/>
        <w:jc w:val="center"/>
        <w:rPr>
          <w:rFonts w:ascii="方正小标宋简体" w:eastAsia="方正小标宋简体" w:hAnsi="宋体" w:cs="宋体"/>
          <w:sz w:val="44"/>
          <w:szCs w:val="44"/>
        </w:rPr>
      </w:pPr>
    </w:p>
    <w:p w:rsidR="000D3A16" w:rsidRPr="000D3A16" w:rsidRDefault="000D3A16" w:rsidP="00665B66">
      <w:pPr>
        <w:spacing w:line="620" w:lineRule="exact"/>
        <w:contextualSpacing/>
        <w:jc w:val="center"/>
        <w:rPr>
          <w:rFonts w:ascii="方正小标宋简体" w:eastAsia="方正小标宋简体" w:hAnsi="宋体" w:cs="宋体"/>
          <w:sz w:val="44"/>
          <w:szCs w:val="44"/>
        </w:rPr>
      </w:pPr>
      <w:r w:rsidRPr="000D3A16">
        <w:rPr>
          <w:rFonts w:ascii="方正小标宋简体" w:eastAsia="方正小标宋简体" w:hAnsi="宋体" w:cs="宋体" w:hint="eastAsia"/>
          <w:sz w:val="44"/>
          <w:szCs w:val="44"/>
        </w:rPr>
        <w:t>2018年滨海新区市场监管行政执法报告</w:t>
      </w:r>
    </w:p>
    <w:p w:rsidR="000D3A16" w:rsidRPr="000D3A16" w:rsidRDefault="000D3A16" w:rsidP="00665B66">
      <w:pPr>
        <w:spacing w:line="620" w:lineRule="exact"/>
        <w:ind w:firstLineChars="200" w:firstLine="480"/>
        <w:contextualSpacing/>
        <w:rPr>
          <w:rFonts w:ascii="宋体" w:hAnsi="宋体" w:cs="宋体"/>
          <w:sz w:val="24"/>
          <w:szCs w:val="32"/>
        </w:rPr>
      </w:pPr>
    </w:p>
    <w:p w:rsidR="000D3A16" w:rsidRPr="000D3A16" w:rsidRDefault="000D3A16" w:rsidP="00665B66">
      <w:pPr>
        <w:adjustRightInd w:val="0"/>
        <w:snapToGrid w:val="0"/>
        <w:spacing w:line="620" w:lineRule="exact"/>
        <w:ind w:firstLineChars="200" w:firstLine="640"/>
        <w:contextualSpacing/>
        <w:rPr>
          <w:rFonts w:ascii="仿宋_GB2312" w:eastAsia="仿宋_GB2312" w:hAnsi="仿宋"/>
          <w:sz w:val="32"/>
          <w:szCs w:val="32"/>
        </w:rPr>
      </w:pPr>
      <w:r w:rsidRPr="000D3A16">
        <w:rPr>
          <w:rFonts w:ascii="仿宋_GB2312" w:eastAsia="仿宋_GB2312" w:hAnsi="仿宋" w:hint="eastAsia"/>
          <w:sz w:val="32"/>
          <w:szCs w:val="32"/>
        </w:rPr>
        <w:t>2018年，滨海新区市场监管局充分发挥市场监管体制优势，加大行政执法工作力度，提升案件查办质量，切实维护市场经济秩序。</w:t>
      </w:r>
    </w:p>
    <w:p w:rsidR="000D3A16" w:rsidRPr="000D3A16" w:rsidRDefault="000D3A16" w:rsidP="00665B66">
      <w:pPr>
        <w:numPr>
          <w:ilvl w:val="0"/>
          <w:numId w:val="1"/>
        </w:numPr>
        <w:adjustRightInd w:val="0"/>
        <w:snapToGrid w:val="0"/>
        <w:spacing w:line="620" w:lineRule="exact"/>
        <w:contextualSpacing/>
        <w:rPr>
          <w:rFonts w:ascii="黑体" w:eastAsia="黑体" w:hAnsi="黑体" w:cs="宋体"/>
          <w:sz w:val="32"/>
          <w:szCs w:val="32"/>
        </w:rPr>
      </w:pPr>
      <w:r w:rsidRPr="000D3A16">
        <w:rPr>
          <w:rFonts w:ascii="黑体" w:eastAsia="黑体" w:hAnsi="黑体" w:cs="宋体" w:hint="eastAsia"/>
          <w:sz w:val="32"/>
          <w:szCs w:val="32"/>
        </w:rPr>
        <w:t>行政执法总体情况</w:t>
      </w:r>
    </w:p>
    <w:p w:rsidR="000D3A16" w:rsidRPr="000D3A16" w:rsidRDefault="000D3A16" w:rsidP="00665B66">
      <w:pPr>
        <w:adjustRightInd w:val="0"/>
        <w:snapToGrid w:val="0"/>
        <w:spacing w:line="620" w:lineRule="exact"/>
        <w:ind w:firstLineChars="200" w:firstLine="640"/>
        <w:contextualSpacing/>
        <w:rPr>
          <w:rFonts w:ascii="宋体" w:hAnsi="宋体"/>
          <w:b/>
          <w:sz w:val="28"/>
          <w:szCs w:val="32"/>
        </w:rPr>
      </w:pPr>
      <w:r w:rsidRPr="000D3A16">
        <w:rPr>
          <w:rFonts w:ascii="仿宋_GB2312" w:eastAsia="仿宋_GB2312" w:hAnsi="仿宋" w:hint="eastAsia"/>
          <w:sz w:val="32"/>
          <w:szCs w:val="32"/>
        </w:rPr>
        <w:lastRenderedPageBreak/>
        <w:t>2018年，共计立案570件，结案487件，罚没金额合计1698.03万元。立案数量</w:t>
      </w:r>
      <w:r w:rsidRPr="000D3A16">
        <w:rPr>
          <w:rFonts w:eastAsia="仿宋_GB2312" w:hint="eastAsia"/>
          <w:sz w:val="32"/>
          <w:szCs w:val="32"/>
        </w:rPr>
        <w:t>大</w:t>
      </w:r>
      <w:r w:rsidRPr="000D3A16">
        <w:rPr>
          <w:rFonts w:ascii="仿宋_GB2312" w:eastAsia="仿宋_GB2312" w:hAnsi="仿宋" w:hint="eastAsia"/>
          <w:sz w:val="32"/>
          <w:szCs w:val="32"/>
        </w:rPr>
        <w:t>幅增长25%,结案数量小幅增长9.19%、罚没款金额同比小幅下降4.08%。移送司法机关20件，移送其他机关6件，罚没款金额10万元以上案件26件，同比下降22.85%；撤销因</w:t>
      </w:r>
      <w:r w:rsidRPr="000D3A16">
        <w:rPr>
          <w:rFonts w:ascii="仿宋_GB2312" w:eastAsia="仿宋_GB2312" w:hAnsi="楷体" w:hint="eastAsia"/>
          <w:sz w:val="32"/>
          <w:szCs w:val="32"/>
        </w:rPr>
        <w:t>提交虚假材料取得公司登记</w:t>
      </w:r>
      <w:r w:rsidRPr="000D3A16">
        <w:rPr>
          <w:rFonts w:eastAsia="仿宋_GB2312" w:hint="eastAsia"/>
          <w:sz w:val="32"/>
          <w:szCs w:val="32"/>
        </w:rPr>
        <w:t>类</w:t>
      </w:r>
      <w:r w:rsidRPr="000D3A16">
        <w:rPr>
          <w:rFonts w:ascii="仿宋_GB2312" w:eastAsia="仿宋_GB2312" w:hAnsi="楷体" w:hint="eastAsia"/>
          <w:sz w:val="32"/>
          <w:szCs w:val="32"/>
        </w:rPr>
        <w:t>案件34件，同比增加183.33%。</w:t>
      </w:r>
    </w:p>
    <w:p w:rsidR="000D3A16" w:rsidRPr="000D3A16" w:rsidRDefault="000576B8" w:rsidP="000D3A16">
      <w:pPr>
        <w:adjustRightInd w:val="0"/>
        <w:snapToGrid w:val="0"/>
        <w:spacing w:line="360" w:lineRule="auto"/>
        <w:jc w:val="center"/>
        <w:rPr>
          <w:rFonts w:ascii="仿宋_GB2312" w:eastAsia="仿宋_GB2312" w:hAnsi="仿宋"/>
          <w:sz w:val="32"/>
          <w:szCs w:val="32"/>
        </w:rPr>
      </w:pPr>
      <w:r w:rsidRPr="0077403A">
        <w:rPr>
          <w:noProof/>
        </w:rPr>
        <w:object w:dxaOrig="8115" w:dyaOrig="4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208.55pt" o:ole="">
            <v:imagedata r:id="rId9" o:title="" cropbottom="-63f" cropright="-24f"/>
            <o:lock v:ext="edit" aspectratio="f"/>
          </v:shape>
          <o:OLEObject Type="Embed" ProgID="Excel.Sheet.8" ShapeID="_x0000_i1025" DrawAspect="Content" ObjectID="_1609658898" r:id="rId10">
            <o:FieldCodes>\s</o:FieldCodes>
          </o:OLEObject>
        </w:object>
      </w:r>
    </w:p>
    <w:p w:rsidR="000576B8" w:rsidRPr="00665B66" w:rsidRDefault="000576B8" w:rsidP="000576B8">
      <w:pPr>
        <w:adjustRightInd w:val="0"/>
        <w:snapToGrid w:val="0"/>
        <w:spacing w:line="620" w:lineRule="exact"/>
        <w:contextualSpacing/>
        <w:jc w:val="center"/>
        <w:rPr>
          <w:rFonts w:ascii="宋体" w:hAnsi="宋体"/>
          <w:b/>
          <w:sz w:val="30"/>
          <w:szCs w:val="30"/>
        </w:rPr>
      </w:pPr>
      <w:r w:rsidRPr="00665B66">
        <w:rPr>
          <w:rFonts w:ascii="宋体" w:hAnsi="宋体" w:hint="eastAsia"/>
          <w:b/>
          <w:sz w:val="30"/>
          <w:szCs w:val="30"/>
        </w:rPr>
        <w:t>图1.2018年2017年、2016年查处违法案件情况数据对比</w:t>
      </w:r>
    </w:p>
    <w:p w:rsidR="000D3A16" w:rsidRPr="000D3A16" w:rsidRDefault="000D3A16" w:rsidP="00665B66">
      <w:pPr>
        <w:adjustRightInd w:val="0"/>
        <w:snapToGrid w:val="0"/>
        <w:spacing w:line="620" w:lineRule="exact"/>
        <w:ind w:firstLineChars="200" w:firstLine="640"/>
        <w:contextualSpacing/>
        <w:rPr>
          <w:rFonts w:ascii="黑体" w:eastAsia="黑体" w:hAnsi="黑体"/>
          <w:color w:val="000000"/>
          <w:kern w:val="0"/>
          <w:sz w:val="32"/>
          <w:szCs w:val="32"/>
        </w:rPr>
      </w:pPr>
      <w:r w:rsidRPr="000D3A16">
        <w:rPr>
          <w:rFonts w:ascii="黑体" w:eastAsia="黑体" w:hAnsi="黑体" w:hint="eastAsia"/>
          <w:color w:val="000000"/>
          <w:kern w:val="0"/>
          <w:sz w:val="32"/>
          <w:szCs w:val="32"/>
        </w:rPr>
        <w:t>二、案件情况</w:t>
      </w:r>
    </w:p>
    <w:p w:rsidR="000D3A16" w:rsidRPr="000D3A16" w:rsidRDefault="000D3A16" w:rsidP="00665B66">
      <w:pPr>
        <w:adjustRightInd w:val="0"/>
        <w:snapToGrid w:val="0"/>
        <w:spacing w:line="620" w:lineRule="exact"/>
        <w:ind w:firstLineChars="200" w:firstLine="643"/>
        <w:contextualSpacing/>
        <w:rPr>
          <w:rFonts w:ascii="楷体_GB2312" w:eastAsia="楷体_GB2312" w:hAnsi="楷体"/>
          <w:b/>
          <w:color w:val="000000"/>
          <w:kern w:val="0"/>
          <w:sz w:val="32"/>
          <w:szCs w:val="32"/>
        </w:rPr>
      </w:pPr>
      <w:r w:rsidRPr="000D3A16">
        <w:rPr>
          <w:rFonts w:ascii="楷体_GB2312" w:eastAsia="楷体_GB2312" w:hAnsi="楷体" w:hint="eastAsia"/>
          <w:b/>
          <w:color w:val="000000"/>
          <w:kern w:val="0"/>
          <w:sz w:val="32"/>
          <w:szCs w:val="32"/>
        </w:rPr>
        <w:t>（一）案件来源情况</w:t>
      </w:r>
    </w:p>
    <w:p w:rsidR="000D3A16" w:rsidRPr="000D3A16" w:rsidRDefault="000D3A16" w:rsidP="00665B66">
      <w:pPr>
        <w:adjustRightInd w:val="0"/>
        <w:snapToGrid w:val="0"/>
        <w:spacing w:line="620" w:lineRule="exact"/>
        <w:ind w:firstLineChars="200" w:firstLine="640"/>
        <w:contextualSpacing/>
        <w:rPr>
          <w:rFonts w:ascii="仿宋_GB2312" w:eastAsia="仿宋_GB2312" w:hAnsi="黑体"/>
          <w:color w:val="000000"/>
          <w:kern w:val="0"/>
          <w:sz w:val="32"/>
          <w:szCs w:val="32"/>
        </w:rPr>
      </w:pPr>
      <w:r w:rsidRPr="000D3A16">
        <w:rPr>
          <w:rFonts w:ascii="仿宋_GB2312" w:eastAsia="仿宋_GB2312" w:hAnsi="黑体" w:hint="eastAsia"/>
          <w:color w:val="000000"/>
          <w:kern w:val="0"/>
          <w:sz w:val="32"/>
          <w:szCs w:val="32"/>
        </w:rPr>
        <w:t>结案的487件案件来源为：投诉举报246件，占案件总数的50.51%；监督检查99件，占案件总数的20.33%；监督抽验133件，占案件总数的27.31%；其他机关移交9件,占案件总数的1.85%。</w:t>
      </w:r>
    </w:p>
    <w:p w:rsidR="000D3A16" w:rsidRPr="000D3A16" w:rsidRDefault="000D3A16" w:rsidP="000D3A16">
      <w:pPr>
        <w:adjustRightInd w:val="0"/>
        <w:snapToGrid w:val="0"/>
        <w:spacing w:line="360" w:lineRule="auto"/>
        <w:rPr>
          <w:rFonts w:ascii="宋体" w:hAnsi="宋体"/>
          <w:noProof/>
        </w:rPr>
      </w:pPr>
    </w:p>
    <w:p w:rsidR="000D3A16" w:rsidRDefault="000576B8" w:rsidP="000D3A16">
      <w:pPr>
        <w:adjustRightInd w:val="0"/>
        <w:snapToGrid w:val="0"/>
        <w:spacing w:line="360" w:lineRule="auto"/>
        <w:jc w:val="center"/>
      </w:pPr>
      <w:r w:rsidRPr="0077403A">
        <w:rPr>
          <w:noProof/>
        </w:rPr>
        <w:object w:dxaOrig="7207" w:dyaOrig="4324">
          <v:shape id="_x0000_i1026" type="#_x0000_t75" style="width:5in;height:3in" o:ole="">
            <v:imagedata r:id="rId11" o:title=""/>
            <o:lock v:ext="edit" aspectratio="f"/>
          </v:shape>
          <o:OLEObject Type="Embed" ProgID="Excel.Sheet.8" ShapeID="_x0000_i1026" DrawAspect="Content" ObjectID="_1609658899" r:id="rId12">
            <o:FieldCodes>\s</o:FieldCodes>
          </o:OLEObject>
        </w:object>
      </w:r>
    </w:p>
    <w:p w:rsidR="000576B8" w:rsidRPr="00665B66" w:rsidRDefault="000576B8" w:rsidP="000576B8">
      <w:pPr>
        <w:adjustRightInd w:val="0"/>
        <w:snapToGrid w:val="0"/>
        <w:spacing w:line="360" w:lineRule="auto"/>
        <w:jc w:val="center"/>
        <w:rPr>
          <w:rFonts w:ascii="宋体" w:hAnsi="宋体"/>
          <w:noProof/>
          <w:sz w:val="30"/>
          <w:szCs w:val="30"/>
        </w:rPr>
      </w:pPr>
      <w:r w:rsidRPr="00665B66">
        <w:rPr>
          <w:rFonts w:ascii="宋体" w:hAnsi="宋体" w:hint="eastAsia"/>
          <w:b/>
          <w:kern w:val="0"/>
          <w:sz w:val="30"/>
          <w:szCs w:val="30"/>
        </w:rPr>
        <w:t>图2.案件来源情况</w:t>
      </w:r>
    </w:p>
    <w:p w:rsidR="000576B8" w:rsidRPr="000576B8" w:rsidRDefault="000576B8" w:rsidP="000D3A16">
      <w:pPr>
        <w:adjustRightInd w:val="0"/>
        <w:snapToGrid w:val="0"/>
        <w:spacing w:line="360" w:lineRule="auto"/>
        <w:jc w:val="center"/>
        <w:rPr>
          <w:rFonts w:ascii="仿宋_GB2312" w:eastAsia="仿宋_GB2312" w:hAnsi="黑体"/>
          <w:color w:val="000000"/>
          <w:kern w:val="0"/>
          <w:sz w:val="32"/>
          <w:szCs w:val="32"/>
        </w:rPr>
      </w:pPr>
    </w:p>
    <w:p w:rsidR="000D3A16" w:rsidRPr="000D3A16" w:rsidRDefault="000D3A16" w:rsidP="00665B66">
      <w:pPr>
        <w:adjustRightInd w:val="0"/>
        <w:snapToGrid w:val="0"/>
        <w:spacing w:line="620" w:lineRule="exact"/>
        <w:ind w:firstLineChars="200" w:firstLine="643"/>
        <w:contextualSpacing/>
        <w:rPr>
          <w:rFonts w:ascii="楷体_GB2312" w:eastAsia="楷体_GB2312" w:hAnsi="楷体"/>
          <w:b/>
          <w:color w:val="000000"/>
          <w:kern w:val="0"/>
          <w:sz w:val="32"/>
          <w:szCs w:val="32"/>
        </w:rPr>
      </w:pPr>
      <w:r w:rsidRPr="000D3A16">
        <w:rPr>
          <w:rFonts w:ascii="楷体_GB2312" w:eastAsia="楷体_GB2312" w:hAnsi="楷体" w:hint="eastAsia"/>
          <w:b/>
          <w:color w:val="000000"/>
          <w:kern w:val="0"/>
          <w:sz w:val="32"/>
          <w:szCs w:val="32"/>
        </w:rPr>
        <w:t>（二）案件类别情况</w:t>
      </w:r>
    </w:p>
    <w:p w:rsidR="000D3A16" w:rsidRPr="000D3A16" w:rsidRDefault="000D3A16" w:rsidP="00665B66">
      <w:pPr>
        <w:adjustRightInd w:val="0"/>
        <w:snapToGrid w:val="0"/>
        <w:spacing w:line="620" w:lineRule="exact"/>
        <w:ind w:firstLineChars="200" w:firstLine="643"/>
        <w:contextualSpacing/>
        <w:rPr>
          <w:rFonts w:ascii="仿宋_GB2312" w:eastAsia="仿宋_GB2312" w:hAnsi="楷体"/>
          <w:sz w:val="32"/>
          <w:szCs w:val="32"/>
        </w:rPr>
      </w:pPr>
      <w:r w:rsidRPr="000D3A16">
        <w:rPr>
          <w:rFonts w:ascii="仿宋_GB2312" w:eastAsia="仿宋_GB2312" w:hAnsi="宋体" w:hint="eastAsia"/>
          <w:b/>
          <w:color w:val="000000"/>
          <w:kern w:val="0"/>
          <w:sz w:val="32"/>
          <w:szCs w:val="32"/>
        </w:rPr>
        <w:t>1.各类案件数量。</w:t>
      </w:r>
      <w:r w:rsidRPr="000D3A16">
        <w:rPr>
          <w:rFonts w:ascii="仿宋_GB2312" w:eastAsia="仿宋_GB2312" w:hAnsi="楷体" w:hint="eastAsia"/>
          <w:sz w:val="32"/>
          <w:szCs w:val="32"/>
        </w:rPr>
        <w:t>2018年查办各类案件数量，按降序排列依次见下表。</w:t>
      </w:r>
    </w:p>
    <w:p w:rsidR="000D3A16" w:rsidRPr="000D3A16" w:rsidRDefault="000D3A16" w:rsidP="000D3A16">
      <w:pPr>
        <w:adjustRightInd w:val="0"/>
        <w:snapToGrid w:val="0"/>
        <w:spacing w:line="360" w:lineRule="auto"/>
        <w:jc w:val="center"/>
        <w:rPr>
          <w:rFonts w:ascii="宋体" w:hAnsi="宋体"/>
          <w:b/>
          <w:sz w:val="32"/>
          <w:szCs w:val="32"/>
        </w:rPr>
      </w:pPr>
    </w:p>
    <w:p w:rsidR="000D3A16" w:rsidRPr="00665B66" w:rsidRDefault="000D3A16" w:rsidP="000D3A16">
      <w:pPr>
        <w:adjustRightInd w:val="0"/>
        <w:snapToGrid w:val="0"/>
        <w:spacing w:line="360" w:lineRule="auto"/>
        <w:jc w:val="center"/>
        <w:rPr>
          <w:rFonts w:ascii="宋体" w:hAnsi="宋体"/>
          <w:b/>
          <w:sz w:val="30"/>
          <w:szCs w:val="30"/>
        </w:rPr>
      </w:pPr>
      <w:r w:rsidRPr="00665B66">
        <w:rPr>
          <w:rFonts w:ascii="宋体" w:hAnsi="宋体" w:hint="eastAsia"/>
          <w:b/>
          <w:sz w:val="30"/>
          <w:szCs w:val="30"/>
        </w:rPr>
        <w:t>2018年查办各类案件数量情况表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8"/>
        <w:gridCol w:w="1559"/>
        <w:gridCol w:w="1559"/>
        <w:gridCol w:w="3119"/>
      </w:tblGrid>
      <w:tr w:rsidR="000D3A16" w:rsidRPr="000D3A16" w:rsidTr="000E4FCE">
        <w:tc>
          <w:tcPr>
            <w:tcW w:w="710"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排序</w:t>
            </w:r>
          </w:p>
        </w:tc>
        <w:tc>
          <w:tcPr>
            <w:tcW w:w="2268"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案件类型</w:t>
            </w:r>
          </w:p>
        </w:tc>
        <w:tc>
          <w:tcPr>
            <w:tcW w:w="1559"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案件数量（件）</w:t>
            </w:r>
          </w:p>
        </w:tc>
        <w:tc>
          <w:tcPr>
            <w:tcW w:w="1559" w:type="dxa"/>
            <w:shd w:val="clear" w:color="auto" w:fill="auto"/>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占案件总数</w:t>
            </w:r>
          </w:p>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比例</w:t>
            </w:r>
          </w:p>
        </w:tc>
        <w:tc>
          <w:tcPr>
            <w:tcW w:w="3119"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备注</w:t>
            </w:r>
          </w:p>
        </w:tc>
      </w:tr>
      <w:tr w:rsidR="000D3A16" w:rsidRPr="000D3A16" w:rsidTr="000E4FCE">
        <w:trPr>
          <w:trHeight w:val="319"/>
        </w:trPr>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食品类案件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122</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25.05%</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rPr>
          <w:trHeight w:val="325"/>
        </w:trPr>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2</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产品质量类案件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63</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12.94 %</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rPr>
          <w:trHeight w:val="344"/>
        </w:trPr>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商标类案件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52</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10.68 %</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rPr>
          <w:trHeight w:val="466"/>
        </w:trPr>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4</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特种设备类案件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40</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8.21 %</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5</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广告类案件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36</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7.39 %</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rPr>
          <w:trHeight w:val="495"/>
        </w:trPr>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6</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药品类案件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35</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7.19%</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rPr>
          <w:trHeight w:val="258"/>
        </w:trPr>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lastRenderedPageBreak/>
              <w:t>7</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公司登记类案件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34</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6.98 %</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rPr>
          <w:trHeight w:val="430"/>
        </w:trPr>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8</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不正当竞争类案件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32</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6.57 %</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rPr>
          <w:trHeight w:val="423"/>
        </w:trPr>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9</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医疗器械案件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21</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4.31%</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10</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化妆品类案件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5</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1.03%</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11</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消费者权益保护案件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0.62 %</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12</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认证认可类案</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0.62 %</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13</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计量类案件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0.20%</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14</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其他类案件</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40</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8.21</w:t>
            </w:r>
            <w:r w:rsidRPr="000D3A16">
              <w:rPr>
                <w:rFonts w:ascii="宋体" w:hAnsi="宋体" w:hint="eastAsia"/>
                <w:szCs w:val="21"/>
              </w:rPr>
              <w:t>%</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p>
        </w:tc>
      </w:tr>
      <w:tr w:rsidR="000D3A16" w:rsidRPr="000D3A16" w:rsidTr="000E4FCE">
        <w:trPr>
          <w:trHeight w:val="226"/>
        </w:trPr>
        <w:tc>
          <w:tcPr>
            <w:tcW w:w="71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合计</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487</w:t>
            </w:r>
          </w:p>
        </w:tc>
        <w:tc>
          <w:tcPr>
            <w:tcW w:w="155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100%</w:t>
            </w:r>
          </w:p>
        </w:tc>
        <w:tc>
          <w:tcPr>
            <w:tcW w:w="311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w:t>
            </w:r>
          </w:p>
        </w:tc>
      </w:tr>
    </w:tbl>
    <w:p w:rsidR="000D3A16" w:rsidRPr="000D3A16" w:rsidRDefault="00715E2D" w:rsidP="000D3A16">
      <w:pPr>
        <w:widowControl/>
        <w:jc w:val="center"/>
        <w:rPr>
          <w:rFonts w:hAnsi="宋体"/>
          <w:b/>
          <w:bCs/>
          <w:color w:val="000000"/>
          <w:kern w:val="24"/>
          <w:sz w:val="24"/>
          <w:szCs w:val="24"/>
        </w:rPr>
      </w:pPr>
      <w:r>
        <w:rPr>
          <w:noProof/>
        </w:rPr>
        <w:pict>
          <v:shape id="图表 3" o:spid="_x0000_s1051" type="#_x0000_t75" style="position:absolute;left:0;text-align:left;margin-left:27.55pt;margin-top:5.85pt;width:400.5pt;height:195.85pt;z-index:1;visibility:visible;mso-position-horizontal-relative:text;mso-position-vertical-relative:text">
            <v:imagedata r:id="rId13" o:title=""/>
          </v:shape>
          <o:OLEObject Type="Embed" ProgID="Excel.Sheet.8" ShapeID="图表 3" DrawAspect="Content" ObjectID="_1609658902" r:id="rId14">
            <o:FieldCodes>\s</o:FieldCodes>
          </o:OLEObject>
        </w:pict>
      </w:r>
    </w:p>
    <w:p w:rsidR="000D3A16" w:rsidRPr="000D3A16" w:rsidRDefault="000D3A16" w:rsidP="000576B8">
      <w:pPr>
        <w:adjustRightInd w:val="0"/>
        <w:snapToGrid w:val="0"/>
        <w:spacing w:line="360" w:lineRule="auto"/>
        <w:ind w:firstLineChars="200" w:firstLine="643"/>
        <w:rPr>
          <w:rFonts w:ascii="仿宋_GB2312" w:eastAsia="仿宋_GB2312" w:hAnsi="楷体"/>
          <w:b/>
          <w:sz w:val="32"/>
          <w:szCs w:val="32"/>
        </w:rPr>
      </w:pPr>
    </w:p>
    <w:p w:rsidR="000D3A16" w:rsidRPr="000D3A16" w:rsidRDefault="000D3A16" w:rsidP="000D3A16">
      <w:pPr>
        <w:adjustRightInd w:val="0"/>
        <w:snapToGrid w:val="0"/>
        <w:spacing w:line="360" w:lineRule="auto"/>
        <w:ind w:firstLineChars="200" w:firstLine="643"/>
        <w:rPr>
          <w:rFonts w:ascii="仿宋_GB2312" w:eastAsia="仿宋_GB2312" w:hAnsi="楷体"/>
          <w:b/>
          <w:sz w:val="32"/>
          <w:szCs w:val="32"/>
        </w:rPr>
      </w:pPr>
    </w:p>
    <w:p w:rsidR="000D3A16" w:rsidRPr="000D3A16" w:rsidRDefault="000D3A16" w:rsidP="000D3A16">
      <w:pPr>
        <w:adjustRightInd w:val="0"/>
        <w:snapToGrid w:val="0"/>
        <w:spacing w:line="360" w:lineRule="auto"/>
        <w:ind w:firstLineChars="200" w:firstLine="643"/>
        <w:rPr>
          <w:rFonts w:ascii="仿宋_GB2312" w:eastAsia="仿宋_GB2312" w:hAnsi="楷体"/>
          <w:b/>
          <w:sz w:val="32"/>
          <w:szCs w:val="32"/>
        </w:rPr>
      </w:pPr>
    </w:p>
    <w:p w:rsidR="000D3A16" w:rsidRPr="000D3A16" w:rsidRDefault="000D3A16" w:rsidP="000D3A16">
      <w:pPr>
        <w:adjustRightInd w:val="0"/>
        <w:snapToGrid w:val="0"/>
        <w:spacing w:line="360" w:lineRule="auto"/>
        <w:ind w:firstLineChars="200" w:firstLine="643"/>
        <w:rPr>
          <w:rFonts w:ascii="仿宋_GB2312" w:eastAsia="仿宋_GB2312" w:hAnsi="楷体"/>
          <w:b/>
          <w:sz w:val="32"/>
          <w:szCs w:val="32"/>
        </w:rPr>
      </w:pPr>
    </w:p>
    <w:p w:rsidR="000D3A16" w:rsidRPr="000D3A16" w:rsidRDefault="000D3A16" w:rsidP="000D3A16">
      <w:pPr>
        <w:adjustRightInd w:val="0"/>
        <w:snapToGrid w:val="0"/>
        <w:spacing w:line="360" w:lineRule="auto"/>
        <w:ind w:firstLineChars="200" w:firstLine="643"/>
        <w:rPr>
          <w:rFonts w:ascii="仿宋_GB2312" w:eastAsia="仿宋_GB2312" w:hAnsi="楷体"/>
          <w:b/>
          <w:sz w:val="32"/>
          <w:szCs w:val="32"/>
        </w:rPr>
      </w:pPr>
    </w:p>
    <w:p w:rsidR="000D3A16" w:rsidRDefault="000D3A16" w:rsidP="000D3A16">
      <w:pPr>
        <w:adjustRightInd w:val="0"/>
        <w:snapToGrid w:val="0"/>
        <w:spacing w:line="360" w:lineRule="auto"/>
        <w:ind w:firstLineChars="200" w:firstLine="643"/>
        <w:rPr>
          <w:rFonts w:ascii="仿宋_GB2312" w:eastAsia="仿宋_GB2312" w:hAnsi="楷体"/>
          <w:b/>
          <w:sz w:val="32"/>
          <w:szCs w:val="32"/>
        </w:rPr>
      </w:pPr>
    </w:p>
    <w:p w:rsidR="000576B8" w:rsidRPr="00665B66" w:rsidRDefault="000576B8" w:rsidP="00665B66">
      <w:pPr>
        <w:widowControl/>
        <w:ind w:firstLine="602"/>
        <w:jc w:val="center"/>
        <w:rPr>
          <w:rFonts w:ascii="宋体" w:hAnsi="宋体" w:cs="宋体"/>
          <w:b/>
          <w:kern w:val="0"/>
          <w:sz w:val="30"/>
          <w:szCs w:val="30"/>
        </w:rPr>
      </w:pPr>
      <w:r w:rsidRPr="00665B66">
        <w:rPr>
          <w:rFonts w:ascii="宋体" w:hAnsi="宋体"/>
          <w:b/>
          <w:bCs/>
          <w:color w:val="000000"/>
          <w:kern w:val="24"/>
          <w:sz w:val="30"/>
          <w:szCs w:val="30"/>
        </w:rPr>
        <w:t>图3.2017年查办各类案件数量对比</w:t>
      </w:r>
    </w:p>
    <w:p w:rsidR="000D3A16" w:rsidRPr="000D3A16" w:rsidRDefault="000D3A16" w:rsidP="000D3A16">
      <w:pPr>
        <w:adjustRightInd w:val="0"/>
        <w:snapToGrid w:val="0"/>
        <w:spacing w:line="360" w:lineRule="auto"/>
        <w:ind w:firstLineChars="200" w:firstLine="643"/>
        <w:rPr>
          <w:rFonts w:ascii="仿宋_GB2312" w:eastAsia="仿宋_GB2312" w:hAnsi="楷体"/>
          <w:sz w:val="32"/>
          <w:szCs w:val="32"/>
        </w:rPr>
      </w:pPr>
      <w:r w:rsidRPr="000D3A16">
        <w:rPr>
          <w:rFonts w:ascii="仿宋_GB2312" w:eastAsia="仿宋_GB2312" w:hAnsi="楷体" w:hint="eastAsia"/>
          <w:b/>
          <w:sz w:val="32"/>
          <w:szCs w:val="32"/>
        </w:rPr>
        <w:t>2.各类案件罚没款金额。</w:t>
      </w:r>
      <w:r w:rsidRPr="000D3A16">
        <w:rPr>
          <w:rFonts w:ascii="仿宋_GB2312" w:eastAsia="仿宋_GB2312" w:hAnsi="楷体" w:hint="eastAsia"/>
          <w:sz w:val="32"/>
          <w:szCs w:val="32"/>
        </w:rPr>
        <w:t>2018年查办各类案件罚没款金额，按降序排列依次见下表。</w:t>
      </w:r>
    </w:p>
    <w:p w:rsidR="000D3A16" w:rsidRPr="00665B66" w:rsidRDefault="000D3A16" w:rsidP="000D3A16">
      <w:pPr>
        <w:adjustRightInd w:val="0"/>
        <w:snapToGrid w:val="0"/>
        <w:spacing w:line="360" w:lineRule="auto"/>
        <w:jc w:val="center"/>
        <w:rPr>
          <w:rFonts w:ascii="宋体" w:hAnsi="宋体"/>
          <w:b/>
          <w:sz w:val="30"/>
          <w:szCs w:val="30"/>
        </w:rPr>
      </w:pPr>
      <w:r w:rsidRPr="00665B66">
        <w:rPr>
          <w:rFonts w:ascii="宋体" w:hAnsi="宋体" w:hint="eastAsia"/>
          <w:b/>
          <w:sz w:val="30"/>
          <w:szCs w:val="30"/>
        </w:rPr>
        <w:t>2018年查办各类案件罚没款情况表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40"/>
        <w:gridCol w:w="1587"/>
        <w:gridCol w:w="1701"/>
        <w:gridCol w:w="2268"/>
      </w:tblGrid>
      <w:tr w:rsidR="000D3A16" w:rsidRPr="000D3A16" w:rsidTr="000E4FCE">
        <w:tc>
          <w:tcPr>
            <w:tcW w:w="851" w:type="dxa"/>
            <w:shd w:val="clear" w:color="auto" w:fill="auto"/>
            <w:vAlign w:val="center"/>
          </w:tcPr>
          <w:p w:rsidR="000D3A16" w:rsidRPr="000D3A16" w:rsidRDefault="000D3A16" w:rsidP="000D3A16">
            <w:pPr>
              <w:adjustRightInd w:val="0"/>
              <w:snapToGrid w:val="0"/>
              <w:jc w:val="center"/>
              <w:rPr>
                <w:rFonts w:ascii="宋体" w:hAnsi="宋体"/>
                <w:sz w:val="24"/>
                <w:szCs w:val="24"/>
              </w:rPr>
            </w:pPr>
            <w:r w:rsidRPr="000D3A16">
              <w:rPr>
                <w:rFonts w:ascii="宋体" w:hAnsi="宋体" w:hint="eastAsia"/>
                <w:sz w:val="24"/>
                <w:szCs w:val="24"/>
              </w:rPr>
              <w:t>排序</w:t>
            </w:r>
          </w:p>
        </w:tc>
        <w:tc>
          <w:tcPr>
            <w:tcW w:w="2240" w:type="dxa"/>
            <w:shd w:val="clear" w:color="auto" w:fill="auto"/>
            <w:vAlign w:val="center"/>
          </w:tcPr>
          <w:p w:rsidR="000D3A16" w:rsidRPr="000D3A16" w:rsidRDefault="000D3A16" w:rsidP="000D3A16">
            <w:pPr>
              <w:adjustRightInd w:val="0"/>
              <w:snapToGrid w:val="0"/>
              <w:jc w:val="center"/>
              <w:rPr>
                <w:rFonts w:ascii="宋体" w:hAnsi="宋体"/>
                <w:sz w:val="24"/>
                <w:szCs w:val="24"/>
              </w:rPr>
            </w:pPr>
            <w:r w:rsidRPr="000D3A16">
              <w:rPr>
                <w:rFonts w:ascii="宋体" w:hAnsi="宋体" w:hint="eastAsia"/>
                <w:sz w:val="24"/>
                <w:szCs w:val="24"/>
              </w:rPr>
              <w:t>案件类型</w:t>
            </w:r>
          </w:p>
        </w:tc>
        <w:tc>
          <w:tcPr>
            <w:tcW w:w="1587" w:type="dxa"/>
            <w:shd w:val="clear" w:color="auto" w:fill="auto"/>
            <w:vAlign w:val="center"/>
          </w:tcPr>
          <w:p w:rsidR="000D3A16" w:rsidRPr="000D3A16" w:rsidRDefault="000D3A16" w:rsidP="000D3A16">
            <w:pPr>
              <w:adjustRightInd w:val="0"/>
              <w:snapToGrid w:val="0"/>
              <w:jc w:val="center"/>
              <w:rPr>
                <w:rFonts w:ascii="宋体" w:hAnsi="宋体"/>
                <w:sz w:val="24"/>
                <w:szCs w:val="24"/>
              </w:rPr>
            </w:pPr>
            <w:r w:rsidRPr="000D3A16">
              <w:rPr>
                <w:rFonts w:ascii="宋体" w:hAnsi="宋体" w:hint="eastAsia"/>
                <w:sz w:val="24"/>
                <w:szCs w:val="24"/>
              </w:rPr>
              <w:t>罚没款金额</w:t>
            </w:r>
          </w:p>
          <w:p w:rsidR="000D3A16" w:rsidRPr="000D3A16" w:rsidRDefault="000D3A16" w:rsidP="000D3A16">
            <w:pPr>
              <w:adjustRightInd w:val="0"/>
              <w:snapToGrid w:val="0"/>
              <w:jc w:val="center"/>
              <w:rPr>
                <w:rFonts w:ascii="宋体" w:hAnsi="宋体"/>
                <w:sz w:val="24"/>
                <w:szCs w:val="24"/>
              </w:rPr>
            </w:pPr>
            <w:r w:rsidRPr="000D3A16">
              <w:rPr>
                <w:rFonts w:ascii="宋体" w:hAnsi="宋体" w:hint="eastAsia"/>
                <w:sz w:val="24"/>
                <w:szCs w:val="24"/>
              </w:rPr>
              <w:t>（万元）</w:t>
            </w:r>
          </w:p>
        </w:tc>
        <w:tc>
          <w:tcPr>
            <w:tcW w:w="1701" w:type="dxa"/>
            <w:shd w:val="clear" w:color="auto" w:fill="auto"/>
            <w:vAlign w:val="center"/>
          </w:tcPr>
          <w:p w:rsidR="000D3A16" w:rsidRPr="000D3A16" w:rsidRDefault="000D3A16" w:rsidP="000D3A16">
            <w:pPr>
              <w:adjustRightInd w:val="0"/>
              <w:snapToGrid w:val="0"/>
              <w:jc w:val="center"/>
              <w:rPr>
                <w:rFonts w:ascii="宋体" w:hAnsi="宋体"/>
                <w:sz w:val="24"/>
                <w:szCs w:val="24"/>
              </w:rPr>
            </w:pPr>
            <w:r w:rsidRPr="000D3A16">
              <w:rPr>
                <w:rFonts w:ascii="宋体" w:hAnsi="宋体" w:hint="eastAsia"/>
                <w:sz w:val="24"/>
                <w:szCs w:val="24"/>
              </w:rPr>
              <w:t>占罚没款总额的比例</w:t>
            </w:r>
          </w:p>
        </w:tc>
        <w:tc>
          <w:tcPr>
            <w:tcW w:w="2268" w:type="dxa"/>
            <w:shd w:val="clear" w:color="auto" w:fill="auto"/>
            <w:vAlign w:val="center"/>
          </w:tcPr>
          <w:p w:rsidR="000D3A16" w:rsidRPr="000D3A16" w:rsidRDefault="000D3A16" w:rsidP="000D3A16">
            <w:pPr>
              <w:adjustRightInd w:val="0"/>
              <w:snapToGrid w:val="0"/>
              <w:jc w:val="center"/>
              <w:rPr>
                <w:rFonts w:ascii="宋体" w:hAnsi="宋体"/>
                <w:sz w:val="24"/>
                <w:szCs w:val="24"/>
              </w:rPr>
            </w:pPr>
            <w:r w:rsidRPr="000D3A16">
              <w:rPr>
                <w:rFonts w:ascii="宋体" w:hAnsi="宋体" w:hint="eastAsia"/>
                <w:sz w:val="24"/>
                <w:szCs w:val="24"/>
              </w:rPr>
              <w:t>备注</w:t>
            </w: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医疗器械类案件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529.6</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31.19</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2</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特种设备类案件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373.01</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21.97</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3</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药品类案件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209.46</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12.34</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lastRenderedPageBreak/>
              <w:t>4</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食品类案件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181.94</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10.71</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5</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不正当竞争类案件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134.3</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7.91</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6</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商标类案件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131.65</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7.75</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rPr>
          <w:trHeight w:val="485"/>
        </w:trPr>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7</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产品质量类案件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55.96</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3.3</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8</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广告类案件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41.3</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2.43</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9</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认证认可类案件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11.98</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0.71</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10</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公司登记类案件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5.5</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0.32</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11</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消费者权益保护案件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2.7</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0.16</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12</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化妆品类案件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0.61</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0.04</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13</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计量类案件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0.03</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0.001</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14</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其他类案件</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sz w:val="22"/>
                <w:szCs w:val="24"/>
              </w:rPr>
              <w:t>19.99</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r w:rsidRPr="000D3A16">
              <w:rPr>
                <w:rFonts w:ascii="宋体" w:hAnsi="宋体" w:hint="eastAsia"/>
                <w:sz w:val="22"/>
                <w:szCs w:val="24"/>
              </w:rPr>
              <w:t>1.169</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4"/>
              </w:rPr>
            </w:pPr>
          </w:p>
        </w:tc>
      </w:tr>
      <w:tr w:rsidR="000D3A16" w:rsidRPr="000D3A16" w:rsidTr="000E4FCE">
        <w:tc>
          <w:tcPr>
            <w:tcW w:w="851"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1"/>
              </w:rPr>
            </w:pPr>
            <w:r w:rsidRPr="000D3A16">
              <w:rPr>
                <w:rFonts w:ascii="宋体" w:hAnsi="宋体" w:hint="eastAsia"/>
                <w:sz w:val="22"/>
                <w:szCs w:val="21"/>
              </w:rPr>
              <w:t>合计</w:t>
            </w:r>
          </w:p>
        </w:tc>
        <w:tc>
          <w:tcPr>
            <w:tcW w:w="2240"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1"/>
              </w:rPr>
            </w:pPr>
            <w:r w:rsidRPr="000D3A16">
              <w:rPr>
                <w:rFonts w:ascii="宋体" w:hAnsi="宋体" w:hint="eastAsia"/>
                <w:sz w:val="22"/>
                <w:szCs w:val="21"/>
              </w:rPr>
              <w:t>——</w:t>
            </w:r>
          </w:p>
        </w:tc>
        <w:tc>
          <w:tcPr>
            <w:tcW w:w="1587" w:type="dxa"/>
            <w:shd w:val="clear" w:color="auto" w:fill="auto"/>
            <w:vAlign w:val="center"/>
          </w:tcPr>
          <w:p w:rsidR="000D3A16" w:rsidRPr="000D3A16" w:rsidRDefault="000D3A16" w:rsidP="000D3A16">
            <w:pPr>
              <w:adjustRightInd w:val="0"/>
              <w:snapToGrid w:val="0"/>
              <w:spacing w:line="360" w:lineRule="auto"/>
              <w:jc w:val="center"/>
              <w:rPr>
                <w:rFonts w:ascii="宋体" w:hAnsi="宋体"/>
                <w:sz w:val="22"/>
                <w:szCs w:val="21"/>
              </w:rPr>
            </w:pPr>
            <w:r w:rsidRPr="000D3A16">
              <w:rPr>
                <w:rFonts w:ascii="宋体" w:hAnsi="宋体" w:hint="eastAsia"/>
                <w:sz w:val="22"/>
                <w:szCs w:val="21"/>
              </w:rPr>
              <w:t>1698.03</w:t>
            </w:r>
          </w:p>
        </w:tc>
        <w:tc>
          <w:tcPr>
            <w:tcW w:w="1701" w:type="dxa"/>
            <w:shd w:val="clear" w:color="auto" w:fill="auto"/>
            <w:vAlign w:val="center"/>
          </w:tcPr>
          <w:p w:rsidR="000D3A16" w:rsidRPr="000D3A16" w:rsidRDefault="000D3A16" w:rsidP="000D3A16">
            <w:pPr>
              <w:widowControl/>
              <w:adjustRightInd w:val="0"/>
              <w:snapToGrid w:val="0"/>
              <w:spacing w:line="360" w:lineRule="auto"/>
              <w:jc w:val="center"/>
              <w:rPr>
                <w:rFonts w:ascii="宋体" w:hAnsi="宋体"/>
                <w:sz w:val="22"/>
                <w:szCs w:val="21"/>
              </w:rPr>
            </w:pPr>
            <w:r w:rsidRPr="000D3A16">
              <w:rPr>
                <w:rFonts w:ascii="宋体" w:hAnsi="宋体" w:hint="eastAsia"/>
                <w:sz w:val="22"/>
                <w:szCs w:val="21"/>
              </w:rPr>
              <w:t>100%</w:t>
            </w:r>
          </w:p>
        </w:tc>
        <w:tc>
          <w:tcPr>
            <w:tcW w:w="2268" w:type="dxa"/>
            <w:shd w:val="clear" w:color="auto" w:fill="auto"/>
            <w:vAlign w:val="center"/>
          </w:tcPr>
          <w:p w:rsidR="000D3A16" w:rsidRPr="000D3A16" w:rsidRDefault="000D3A16" w:rsidP="000D3A16">
            <w:pPr>
              <w:widowControl/>
              <w:adjustRightInd w:val="0"/>
              <w:snapToGrid w:val="0"/>
              <w:spacing w:line="360" w:lineRule="auto"/>
              <w:jc w:val="center"/>
              <w:rPr>
                <w:rFonts w:ascii="宋体" w:hAnsi="宋体"/>
                <w:sz w:val="22"/>
                <w:szCs w:val="21"/>
              </w:rPr>
            </w:pPr>
          </w:p>
        </w:tc>
      </w:tr>
    </w:tbl>
    <w:p w:rsidR="000D3A16" w:rsidRPr="000D3A16" w:rsidRDefault="000D3A16" w:rsidP="000D3A16">
      <w:pPr>
        <w:adjustRightInd w:val="0"/>
        <w:snapToGrid w:val="0"/>
        <w:spacing w:line="360" w:lineRule="auto"/>
        <w:rPr>
          <w:noProof/>
        </w:rPr>
      </w:pPr>
    </w:p>
    <w:p w:rsidR="000D3A16" w:rsidRPr="000D3A16" w:rsidRDefault="000D3A16" w:rsidP="000D3A16">
      <w:pPr>
        <w:adjustRightInd w:val="0"/>
        <w:snapToGrid w:val="0"/>
        <w:spacing w:line="360" w:lineRule="auto"/>
        <w:ind w:firstLineChars="200" w:firstLine="420"/>
      </w:pPr>
    </w:p>
    <w:p w:rsidR="000D3A16" w:rsidRPr="000D3A16" w:rsidRDefault="000D3A16" w:rsidP="000D3A16">
      <w:pPr>
        <w:adjustRightInd w:val="0"/>
        <w:snapToGrid w:val="0"/>
        <w:spacing w:line="360" w:lineRule="auto"/>
        <w:rPr>
          <w:rFonts w:ascii="仿宋_GB2312" w:eastAsia="仿宋_GB2312" w:hAnsi="楷体"/>
          <w:sz w:val="32"/>
          <w:szCs w:val="32"/>
        </w:rPr>
      </w:pPr>
    </w:p>
    <w:p w:rsidR="000D3A16" w:rsidRPr="000D3A16" w:rsidRDefault="000D3A16" w:rsidP="000D3A16">
      <w:pPr>
        <w:adjustRightInd w:val="0"/>
        <w:snapToGrid w:val="0"/>
        <w:spacing w:line="360" w:lineRule="auto"/>
        <w:ind w:firstLineChars="200" w:firstLine="640"/>
        <w:jc w:val="center"/>
        <w:rPr>
          <w:rFonts w:ascii="方正小标宋简体" w:eastAsia="方正小标宋简体" w:hAnsi="楷体"/>
          <w:bCs/>
          <w:sz w:val="32"/>
          <w:szCs w:val="32"/>
        </w:rPr>
      </w:pPr>
    </w:p>
    <w:p w:rsidR="000D3A16" w:rsidRDefault="000D3A16" w:rsidP="000D3A16">
      <w:pPr>
        <w:adjustRightInd w:val="0"/>
        <w:snapToGrid w:val="0"/>
        <w:spacing w:line="360" w:lineRule="auto"/>
        <w:ind w:firstLineChars="200" w:firstLine="640"/>
        <w:jc w:val="center"/>
        <w:rPr>
          <w:rFonts w:ascii="方正小标宋简体" w:eastAsia="方正小标宋简体" w:hAnsi="楷体"/>
          <w:bCs/>
          <w:sz w:val="32"/>
          <w:szCs w:val="32"/>
        </w:rPr>
      </w:pPr>
    </w:p>
    <w:p w:rsidR="000D3A16" w:rsidRPr="000D3A16" w:rsidRDefault="000D3A16" w:rsidP="000D3A16">
      <w:pPr>
        <w:adjustRightInd w:val="0"/>
        <w:snapToGrid w:val="0"/>
        <w:spacing w:line="360" w:lineRule="auto"/>
        <w:ind w:firstLineChars="200" w:firstLine="640"/>
        <w:jc w:val="center"/>
        <w:rPr>
          <w:rFonts w:ascii="方正小标宋简体" w:eastAsia="方正小标宋简体" w:hAnsi="楷体"/>
          <w:bCs/>
          <w:sz w:val="32"/>
          <w:szCs w:val="32"/>
        </w:rPr>
      </w:pPr>
    </w:p>
    <w:p w:rsidR="000D3A16" w:rsidRDefault="000576B8" w:rsidP="000576B8">
      <w:pPr>
        <w:adjustRightInd w:val="0"/>
        <w:snapToGrid w:val="0"/>
        <w:spacing w:line="360" w:lineRule="auto"/>
      </w:pPr>
      <w:r w:rsidRPr="0077403A">
        <w:rPr>
          <w:noProof/>
        </w:rPr>
        <w:object w:dxaOrig="8835" w:dyaOrig="5265">
          <v:shape id="_x0000_i1027" type="#_x0000_t75" style="width:441.5pt;height:263.55pt" o:ole="">
            <v:imagedata r:id="rId15" o:title="" cropbottom="-50f" cropright="-22f"/>
            <o:lock v:ext="edit" aspectratio="f"/>
          </v:shape>
          <o:OLEObject Type="Embed" ProgID="Excel.Sheet.8" ShapeID="_x0000_i1027" DrawAspect="Content" ObjectID="_1609658900" r:id="rId16">
            <o:FieldCodes>\s</o:FieldCodes>
          </o:OLEObject>
        </w:object>
      </w:r>
    </w:p>
    <w:p w:rsidR="000576B8" w:rsidRPr="000576B8" w:rsidRDefault="000576B8" w:rsidP="000576B8">
      <w:pPr>
        <w:adjustRightInd w:val="0"/>
        <w:snapToGrid w:val="0"/>
        <w:spacing w:line="360" w:lineRule="auto"/>
        <w:ind w:firstLineChars="200" w:firstLine="602"/>
        <w:jc w:val="center"/>
        <w:rPr>
          <w:rFonts w:ascii="宋体" w:hAnsi="宋体"/>
          <w:b/>
          <w:sz w:val="30"/>
          <w:szCs w:val="30"/>
        </w:rPr>
      </w:pPr>
      <w:r w:rsidRPr="000576B8">
        <w:rPr>
          <w:rFonts w:ascii="宋体" w:hAnsi="宋体" w:hint="eastAsia"/>
          <w:b/>
          <w:bCs/>
          <w:sz w:val="30"/>
          <w:szCs w:val="30"/>
        </w:rPr>
        <w:t>图4.2017年查处各类案件罚没款金额对比</w:t>
      </w:r>
    </w:p>
    <w:p w:rsidR="000D3A16" w:rsidRPr="000576B8" w:rsidRDefault="000D3A16" w:rsidP="000D3A16">
      <w:pPr>
        <w:adjustRightInd w:val="0"/>
        <w:snapToGrid w:val="0"/>
        <w:spacing w:line="360" w:lineRule="auto"/>
        <w:ind w:firstLineChars="200" w:firstLine="640"/>
        <w:rPr>
          <w:rFonts w:ascii="仿宋_GB2312" w:eastAsia="仿宋_GB2312" w:hAnsi="楷体"/>
          <w:sz w:val="32"/>
          <w:szCs w:val="32"/>
        </w:rPr>
      </w:pPr>
    </w:p>
    <w:p w:rsidR="000D3A16" w:rsidRPr="000D3A16" w:rsidRDefault="000D3A16" w:rsidP="00665B66">
      <w:pPr>
        <w:adjustRightInd w:val="0"/>
        <w:snapToGrid w:val="0"/>
        <w:spacing w:line="360" w:lineRule="auto"/>
        <w:ind w:firstLineChars="200" w:firstLine="643"/>
        <w:rPr>
          <w:rFonts w:ascii="宋体" w:hAnsi="宋体"/>
          <w:b/>
          <w:sz w:val="32"/>
          <w:szCs w:val="32"/>
        </w:rPr>
      </w:pPr>
      <w:r w:rsidRPr="000D3A16">
        <w:rPr>
          <w:rFonts w:ascii="仿宋_GB2312" w:eastAsia="仿宋_GB2312" w:hint="eastAsia"/>
          <w:b/>
          <w:sz w:val="32"/>
          <w:szCs w:val="32"/>
        </w:rPr>
        <w:t>3.查处各类违法案件数量与罚没款金额对比情况</w:t>
      </w:r>
    </w:p>
    <w:p w:rsidR="000D3A16" w:rsidRPr="00665B66" w:rsidRDefault="000D3A16" w:rsidP="000D3A16">
      <w:pPr>
        <w:adjustRightInd w:val="0"/>
        <w:snapToGrid w:val="0"/>
        <w:spacing w:line="360" w:lineRule="auto"/>
        <w:jc w:val="center"/>
        <w:rPr>
          <w:rFonts w:ascii="宋体" w:hAnsi="宋体"/>
          <w:b/>
          <w:sz w:val="30"/>
          <w:szCs w:val="30"/>
        </w:rPr>
      </w:pPr>
      <w:r w:rsidRPr="00665B66">
        <w:rPr>
          <w:rFonts w:ascii="宋体" w:hAnsi="宋体" w:hint="eastAsia"/>
          <w:b/>
          <w:sz w:val="30"/>
          <w:szCs w:val="30"/>
        </w:rPr>
        <w:t>2018年查办各类案件数量与罚没款金额对比表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1276"/>
        <w:gridCol w:w="1701"/>
        <w:gridCol w:w="1390"/>
        <w:gridCol w:w="1701"/>
      </w:tblGrid>
      <w:tr w:rsidR="000D3A16" w:rsidRPr="000D3A16" w:rsidTr="000E4FCE">
        <w:tc>
          <w:tcPr>
            <w:tcW w:w="709"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序号</w:t>
            </w:r>
          </w:p>
        </w:tc>
        <w:tc>
          <w:tcPr>
            <w:tcW w:w="2268"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案件类型</w:t>
            </w:r>
          </w:p>
        </w:tc>
        <w:tc>
          <w:tcPr>
            <w:tcW w:w="1276"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按案件数量排序</w:t>
            </w:r>
          </w:p>
        </w:tc>
        <w:tc>
          <w:tcPr>
            <w:tcW w:w="1701"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案件数量（件）</w:t>
            </w:r>
          </w:p>
        </w:tc>
        <w:tc>
          <w:tcPr>
            <w:tcW w:w="1390"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罚没款金额（万元）</w:t>
            </w:r>
          </w:p>
        </w:tc>
        <w:tc>
          <w:tcPr>
            <w:tcW w:w="1701" w:type="dxa"/>
            <w:shd w:val="clear" w:color="auto" w:fill="auto"/>
            <w:vAlign w:val="center"/>
          </w:tcPr>
          <w:p w:rsidR="000D3A16" w:rsidRPr="000D3A16" w:rsidRDefault="000D3A16" w:rsidP="000D3A16">
            <w:pPr>
              <w:adjustRightInd w:val="0"/>
              <w:snapToGrid w:val="0"/>
              <w:spacing w:line="300" w:lineRule="exact"/>
              <w:jc w:val="center"/>
              <w:rPr>
                <w:rFonts w:ascii="宋体" w:hAnsi="宋体"/>
                <w:b/>
                <w:sz w:val="24"/>
                <w:szCs w:val="24"/>
              </w:rPr>
            </w:pPr>
            <w:r w:rsidRPr="000D3A16">
              <w:rPr>
                <w:rFonts w:ascii="宋体" w:hAnsi="宋体" w:hint="eastAsia"/>
                <w:b/>
                <w:sz w:val="24"/>
                <w:szCs w:val="24"/>
              </w:rPr>
              <w:t>按罚没款金额排序</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食品类案件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122</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181.94</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4</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2</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产品质量类案件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2</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63</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55.96</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7</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商标类案件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52</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131.65</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6</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4</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特种设备类案件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4</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40</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373.01</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2</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5</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广告类案件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5</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36</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41.3</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8</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6</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药品案件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6</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35</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209.46</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7</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公司登记类案件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7</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34</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5.5</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10</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8</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不正当竞争类案件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8</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32</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134.3</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color w:val="000000"/>
                <w:kern w:val="0"/>
                <w:szCs w:val="21"/>
              </w:rPr>
            </w:pPr>
            <w:r w:rsidRPr="000D3A16">
              <w:rPr>
                <w:rFonts w:ascii="宋体" w:hAnsi="宋体" w:hint="eastAsia"/>
                <w:color w:val="000000"/>
                <w:kern w:val="0"/>
                <w:szCs w:val="21"/>
              </w:rPr>
              <w:t>5</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9</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医疗器械案件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9</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21</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529.6</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lastRenderedPageBreak/>
              <w:t>10</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化妆品类案件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10</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5</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0.61</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12</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11</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消费者权益保护案件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11</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2.7</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11</w:t>
            </w:r>
          </w:p>
        </w:tc>
      </w:tr>
      <w:tr w:rsidR="000D3A16" w:rsidRPr="000D3A16" w:rsidTr="000E4FCE">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12</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认证认可类案</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11</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3</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11.98</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9</w:t>
            </w:r>
          </w:p>
        </w:tc>
      </w:tr>
      <w:tr w:rsidR="000D3A16" w:rsidRPr="000D3A16" w:rsidTr="000E4FCE">
        <w:trPr>
          <w:trHeight w:val="563"/>
        </w:trPr>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13</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计量类案件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13</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0.03</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13</w:t>
            </w:r>
          </w:p>
        </w:tc>
      </w:tr>
      <w:tr w:rsidR="000D3A16" w:rsidRPr="000D3A16" w:rsidTr="000E4FCE">
        <w:trPr>
          <w:trHeight w:val="487"/>
        </w:trPr>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14</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其他类案件</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14</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40</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szCs w:val="21"/>
              </w:rPr>
              <w:t>19.99</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14</w:t>
            </w:r>
          </w:p>
        </w:tc>
      </w:tr>
      <w:tr w:rsidR="000D3A16" w:rsidRPr="000D3A16" w:rsidTr="000E4FCE">
        <w:trPr>
          <w:trHeight w:val="487"/>
        </w:trPr>
        <w:tc>
          <w:tcPr>
            <w:tcW w:w="709"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合计</w:t>
            </w:r>
          </w:p>
        </w:tc>
        <w:tc>
          <w:tcPr>
            <w:tcW w:w="2268"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w:t>
            </w:r>
          </w:p>
        </w:tc>
        <w:tc>
          <w:tcPr>
            <w:tcW w:w="1276"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487</w:t>
            </w:r>
          </w:p>
        </w:tc>
        <w:tc>
          <w:tcPr>
            <w:tcW w:w="1390"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1698.03</w:t>
            </w:r>
          </w:p>
        </w:tc>
        <w:tc>
          <w:tcPr>
            <w:tcW w:w="1701" w:type="dxa"/>
            <w:shd w:val="clear" w:color="auto" w:fill="auto"/>
            <w:vAlign w:val="center"/>
          </w:tcPr>
          <w:p w:rsidR="000D3A16" w:rsidRPr="000D3A16" w:rsidRDefault="000D3A16" w:rsidP="000D3A16">
            <w:pPr>
              <w:adjustRightInd w:val="0"/>
              <w:snapToGrid w:val="0"/>
              <w:spacing w:line="360" w:lineRule="auto"/>
              <w:jc w:val="center"/>
              <w:rPr>
                <w:rFonts w:ascii="宋体" w:hAnsi="宋体"/>
                <w:szCs w:val="21"/>
              </w:rPr>
            </w:pPr>
            <w:r w:rsidRPr="000D3A16">
              <w:rPr>
                <w:rFonts w:ascii="宋体" w:hAnsi="宋体" w:hint="eastAsia"/>
                <w:szCs w:val="21"/>
              </w:rPr>
              <w:t>--</w:t>
            </w:r>
          </w:p>
        </w:tc>
      </w:tr>
    </w:tbl>
    <w:p w:rsidR="000D3A16" w:rsidRPr="000D3A16" w:rsidRDefault="000D3A16" w:rsidP="000D3A16">
      <w:pPr>
        <w:adjustRightInd w:val="0"/>
        <w:snapToGrid w:val="0"/>
        <w:spacing w:line="360" w:lineRule="auto"/>
      </w:pPr>
    </w:p>
    <w:p w:rsidR="000D3A16" w:rsidRPr="000D3A16" w:rsidRDefault="000D3A16" w:rsidP="00665B66">
      <w:pPr>
        <w:adjustRightInd w:val="0"/>
        <w:snapToGrid w:val="0"/>
        <w:spacing w:line="620" w:lineRule="exact"/>
        <w:ind w:firstLineChars="200" w:firstLine="643"/>
        <w:contextualSpacing/>
        <w:rPr>
          <w:rFonts w:ascii="楷体_GB2312" w:eastAsia="楷体_GB2312" w:hAnsi="楷体"/>
          <w:b/>
          <w:sz w:val="32"/>
          <w:szCs w:val="32"/>
        </w:rPr>
      </w:pPr>
      <w:r w:rsidRPr="000D3A16">
        <w:rPr>
          <w:rFonts w:ascii="楷体_GB2312" w:eastAsia="楷体_GB2312" w:hAnsi="楷体" w:hint="eastAsia"/>
          <w:b/>
          <w:sz w:val="32"/>
          <w:szCs w:val="32"/>
        </w:rPr>
        <w:t>（三）案件罚没款区间案件数量分布情况</w:t>
      </w:r>
    </w:p>
    <w:p w:rsidR="000D3A16" w:rsidRPr="000D3A16" w:rsidRDefault="000D3A16" w:rsidP="00665B66">
      <w:pPr>
        <w:adjustRightInd w:val="0"/>
        <w:snapToGrid w:val="0"/>
        <w:spacing w:line="620" w:lineRule="exact"/>
        <w:ind w:firstLineChars="200" w:firstLine="640"/>
        <w:contextualSpacing/>
        <w:rPr>
          <w:rFonts w:ascii="仿宋_GB2312" w:eastAsia="仿宋_GB2312"/>
          <w:sz w:val="32"/>
          <w:szCs w:val="32"/>
        </w:rPr>
      </w:pPr>
      <w:r w:rsidRPr="000D3A16">
        <w:rPr>
          <w:rFonts w:ascii="仿宋_GB2312" w:eastAsia="仿宋_GB2312" w:hint="eastAsia"/>
          <w:sz w:val="32"/>
          <w:szCs w:val="32"/>
        </w:rPr>
        <w:t>按罚没款幅度划分，1万元以下354件,占案件总数的72.69%；1-5万元77件，占案件总数的15.81%；5-10万元30件，占案件总数的6.16%；10-50万元21件，占案件总数的4.31%；50万元以上5件，占案件总数的1.03%。</w:t>
      </w:r>
    </w:p>
    <w:p w:rsidR="000D3A16" w:rsidRDefault="000576B8" w:rsidP="000D3A16">
      <w:pPr>
        <w:adjustRightInd w:val="0"/>
        <w:snapToGrid w:val="0"/>
        <w:spacing w:line="360" w:lineRule="auto"/>
        <w:jc w:val="center"/>
      </w:pPr>
      <w:r w:rsidRPr="0077403A">
        <w:rPr>
          <w:noProof/>
        </w:rPr>
        <w:object w:dxaOrig="7207" w:dyaOrig="4324">
          <v:shape id="_x0000_i1028" type="#_x0000_t75" style="width:5in;height:3in" o:ole="">
            <v:imagedata r:id="rId17" o:title=""/>
            <o:lock v:ext="edit" aspectratio="f"/>
          </v:shape>
          <o:OLEObject Type="Embed" ProgID="Excel.Sheet.8" ShapeID="_x0000_i1028" DrawAspect="Content" ObjectID="_1609658901" r:id="rId18">
            <o:FieldCodes>\s</o:FieldCodes>
          </o:OLEObject>
        </w:object>
      </w:r>
    </w:p>
    <w:p w:rsidR="000576B8" w:rsidRPr="00127604" w:rsidRDefault="000576B8" w:rsidP="000576B8">
      <w:pPr>
        <w:adjustRightInd w:val="0"/>
        <w:snapToGrid w:val="0"/>
        <w:spacing w:line="360" w:lineRule="auto"/>
        <w:jc w:val="center"/>
        <w:rPr>
          <w:rFonts w:ascii="宋体" w:hAnsi="宋体"/>
          <w:b/>
          <w:sz w:val="30"/>
          <w:szCs w:val="30"/>
        </w:rPr>
      </w:pPr>
      <w:r w:rsidRPr="00127604">
        <w:rPr>
          <w:rFonts w:ascii="宋体" w:hAnsi="宋体" w:hint="eastAsia"/>
          <w:b/>
          <w:sz w:val="30"/>
          <w:szCs w:val="30"/>
        </w:rPr>
        <w:t>图5.案件罚没款区间案件数量</w:t>
      </w:r>
    </w:p>
    <w:p w:rsidR="000576B8" w:rsidRPr="000576B8" w:rsidRDefault="000576B8" w:rsidP="000D3A16">
      <w:pPr>
        <w:adjustRightInd w:val="0"/>
        <w:snapToGrid w:val="0"/>
        <w:spacing w:line="360" w:lineRule="auto"/>
        <w:jc w:val="center"/>
        <w:rPr>
          <w:sz w:val="32"/>
          <w:szCs w:val="32"/>
        </w:rPr>
      </w:pPr>
    </w:p>
    <w:p w:rsidR="000D3A16" w:rsidRPr="000D3A16" w:rsidRDefault="000D3A16" w:rsidP="00665B66">
      <w:pPr>
        <w:adjustRightInd w:val="0"/>
        <w:snapToGrid w:val="0"/>
        <w:spacing w:line="620" w:lineRule="exact"/>
        <w:ind w:firstLine="640"/>
        <w:contextualSpacing/>
        <w:rPr>
          <w:rFonts w:ascii="黑体" w:eastAsia="黑体" w:hAnsi="黑体" w:cs="宋体"/>
          <w:sz w:val="32"/>
          <w:szCs w:val="32"/>
        </w:rPr>
      </w:pPr>
      <w:r w:rsidRPr="000D3A16">
        <w:rPr>
          <w:rFonts w:ascii="黑体" w:eastAsia="黑体" w:hAnsi="黑体" w:cs="宋体" w:hint="eastAsia"/>
          <w:sz w:val="32"/>
          <w:szCs w:val="32"/>
        </w:rPr>
        <w:t>三、重点违法行为趋势分析</w:t>
      </w:r>
    </w:p>
    <w:p w:rsidR="000D3A16" w:rsidRPr="000D3A16" w:rsidRDefault="000D3A16" w:rsidP="00665B66">
      <w:pPr>
        <w:adjustRightInd w:val="0"/>
        <w:snapToGrid w:val="0"/>
        <w:spacing w:line="620" w:lineRule="exact"/>
        <w:ind w:firstLineChars="200" w:firstLine="640"/>
        <w:contextualSpacing/>
        <w:rPr>
          <w:rFonts w:ascii="仿宋_GB2312" w:eastAsia="仿宋_GB2312" w:hAnsi="楷体"/>
          <w:sz w:val="32"/>
          <w:szCs w:val="32"/>
        </w:rPr>
      </w:pPr>
      <w:r w:rsidRPr="000D3A16">
        <w:rPr>
          <w:rFonts w:ascii="仿宋_GB2312" w:eastAsia="仿宋_GB2312" w:hAnsi="楷体" w:hint="eastAsia"/>
          <w:sz w:val="32"/>
          <w:szCs w:val="32"/>
        </w:rPr>
        <w:lastRenderedPageBreak/>
        <w:t>2018年查处的违法案件主要集中在商标、广告、食品安全、产品质量、公司登记、药品、特种设备安全、不正当竞争等八类案件，全年案件数量总体有大幅增长，罚没款金额小幅减少。全年查办的案件中数量增幅较多的案件依次为，化妆品类、消费者权益保护类、医疗器械类、药品类、食品安全类、特种设备安全类、公司登记类、不正当竞争类等八类案件，分别增长400%、200%、162.5%、66.67%、50.62%、37.93%、36%、23.08%。全年查办的案件中罚没款增幅较多的案件依次为</w:t>
      </w:r>
      <w:r w:rsidR="000576B8">
        <w:rPr>
          <w:rFonts w:ascii="仿宋_GB2312" w:eastAsia="仿宋_GB2312" w:hAnsi="楷体" w:hint="eastAsia"/>
          <w:sz w:val="32"/>
          <w:szCs w:val="32"/>
        </w:rPr>
        <w:t>：</w:t>
      </w:r>
      <w:r w:rsidRPr="000D3A16">
        <w:rPr>
          <w:rFonts w:ascii="仿宋_GB2312" w:eastAsia="仿宋_GB2312" w:hAnsi="楷体" w:hint="eastAsia"/>
          <w:sz w:val="32"/>
          <w:szCs w:val="32"/>
        </w:rPr>
        <w:t>医疗器械类、消费者权益保护类、不正当竞争类、认证认可类、特种设备安全类等五类</w:t>
      </w:r>
      <w:r w:rsidR="000576B8">
        <w:rPr>
          <w:rFonts w:ascii="仿宋_GB2312" w:eastAsia="仿宋_GB2312" w:hAnsi="楷体" w:hint="eastAsia"/>
          <w:sz w:val="32"/>
          <w:szCs w:val="32"/>
        </w:rPr>
        <w:t>，</w:t>
      </w:r>
      <w:r w:rsidRPr="000D3A16">
        <w:rPr>
          <w:rFonts w:ascii="仿宋_GB2312" w:eastAsia="仿宋_GB2312" w:hAnsi="楷体" w:hint="eastAsia"/>
          <w:sz w:val="32"/>
          <w:szCs w:val="32"/>
        </w:rPr>
        <w:t>分别增长170%、78.59%、51.96%、40.94%、11.14%。</w:t>
      </w:r>
    </w:p>
    <w:p w:rsidR="000D3A16" w:rsidRPr="000D3A16" w:rsidRDefault="000D3A16" w:rsidP="00665B66">
      <w:pPr>
        <w:adjustRightInd w:val="0"/>
        <w:snapToGrid w:val="0"/>
        <w:spacing w:line="620" w:lineRule="exact"/>
        <w:ind w:firstLineChars="200" w:firstLine="643"/>
        <w:contextualSpacing/>
        <w:rPr>
          <w:rFonts w:ascii="楷体_GB2312" w:eastAsia="楷体_GB2312" w:hAnsi="楷体"/>
          <w:b/>
          <w:sz w:val="32"/>
          <w:szCs w:val="32"/>
        </w:rPr>
      </w:pPr>
      <w:r w:rsidRPr="000D3A16">
        <w:rPr>
          <w:rFonts w:ascii="楷体_GB2312" w:eastAsia="楷体_GB2312" w:hAnsi="楷体" w:hint="eastAsia"/>
          <w:b/>
          <w:sz w:val="32"/>
          <w:szCs w:val="32"/>
        </w:rPr>
        <w:t>（一）食品类案件</w:t>
      </w:r>
    </w:p>
    <w:p w:rsidR="000D3A16" w:rsidRPr="000D3A16" w:rsidRDefault="000D3A16" w:rsidP="00665B66">
      <w:pPr>
        <w:adjustRightInd w:val="0"/>
        <w:snapToGrid w:val="0"/>
        <w:spacing w:line="620" w:lineRule="exact"/>
        <w:ind w:firstLine="640"/>
        <w:contextualSpacing/>
        <w:rPr>
          <w:rFonts w:ascii="仿宋_GB2312" w:eastAsia="仿宋_GB2312" w:hAnsi="楷体"/>
          <w:sz w:val="32"/>
          <w:szCs w:val="32"/>
        </w:rPr>
      </w:pPr>
      <w:r w:rsidRPr="000D3A16">
        <w:rPr>
          <w:rFonts w:ascii="仿宋_GB2312" w:eastAsia="仿宋_GB2312" w:hAnsi="楷体" w:hint="eastAsia"/>
          <w:sz w:val="32"/>
          <w:szCs w:val="32"/>
        </w:rPr>
        <w:t>该类案件数量在各类案件中位列第一，罚没款金额在各类案件中位列第四。案件数量同比增加41件，增幅50.62%；罚没款金额同比增减少116.35万元，下降39%。职业打假人举报数量增加是案件数量增加的主要原因，个案货值金额小以及大案要案减少是造成罚没款金额减少的原因。今后，食品安全类案件的查处仍将作为市场监管执法的主要任务之一，随着执法力度的不断加大，此类案件数量将有所增加。</w:t>
      </w:r>
    </w:p>
    <w:p w:rsidR="000D3A16" w:rsidRPr="000D3A16" w:rsidRDefault="000D3A16" w:rsidP="00665B66">
      <w:pPr>
        <w:adjustRightInd w:val="0"/>
        <w:snapToGrid w:val="0"/>
        <w:spacing w:line="620" w:lineRule="exact"/>
        <w:ind w:firstLine="640"/>
        <w:contextualSpacing/>
        <w:rPr>
          <w:rFonts w:ascii="楷体_GB2312" w:eastAsia="楷体_GB2312" w:hAnsi="楷体"/>
          <w:b/>
          <w:sz w:val="32"/>
          <w:szCs w:val="32"/>
        </w:rPr>
      </w:pPr>
      <w:r w:rsidRPr="000D3A16">
        <w:rPr>
          <w:rFonts w:ascii="楷体_GB2312" w:eastAsia="楷体_GB2312" w:hAnsi="楷体" w:hint="eastAsia"/>
          <w:b/>
          <w:sz w:val="32"/>
          <w:szCs w:val="32"/>
        </w:rPr>
        <w:t>（二）产品质量类案件</w:t>
      </w:r>
    </w:p>
    <w:p w:rsidR="000D3A16" w:rsidRPr="000D3A16" w:rsidRDefault="000D3A16" w:rsidP="00665B66">
      <w:pPr>
        <w:adjustRightInd w:val="0"/>
        <w:snapToGrid w:val="0"/>
        <w:spacing w:line="620" w:lineRule="exact"/>
        <w:ind w:firstLineChars="200" w:firstLine="640"/>
        <w:contextualSpacing/>
        <w:rPr>
          <w:rFonts w:ascii="仿宋_GB2312" w:eastAsia="仿宋_GB2312" w:hAnsi="Times New Roman"/>
          <w:color w:val="FF0000"/>
          <w:sz w:val="32"/>
          <w:szCs w:val="32"/>
        </w:rPr>
      </w:pPr>
      <w:r w:rsidRPr="000D3A16">
        <w:rPr>
          <w:rFonts w:ascii="仿宋_GB2312" w:eastAsia="仿宋_GB2312" w:hAnsi="楷体" w:hint="eastAsia"/>
          <w:sz w:val="32"/>
          <w:szCs w:val="32"/>
        </w:rPr>
        <w:t>该类案件数量在各类案件中位列第二，罚没款金额在各类案</w:t>
      </w:r>
      <w:r w:rsidRPr="000D3A16">
        <w:rPr>
          <w:rFonts w:ascii="仿宋_GB2312" w:eastAsia="仿宋_GB2312" w:hAnsi="楷体" w:hint="eastAsia"/>
          <w:sz w:val="32"/>
          <w:szCs w:val="32"/>
        </w:rPr>
        <w:lastRenderedPageBreak/>
        <w:t>件中位列第七。案件数量同比减少23件，下降26.74%；罚没款金额同比减少30.81万元，下降35.51%。企业产品质量的提高、个案货值金额小以及大案要案减少是案件数量、罚没款金额减少的主要因素。作为市场监管执法的主要执法类型之一，今后此类案件查办数量、罚没款金额将有所下降。</w:t>
      </w:r>
    </w:p>
    <w:p w:rsidR="000D3A16" w:rsidRPr="000D3A16" w:rsidRDefault="000D3A16" w:rsidP="00665B66">
      <w:pPr>
        <w:adjustRightInd w:val="0"/>
        <w:snapToGrid w:val="0"/>
        <w:spacing w:line="620" w:lineRule="exact"/>
        <w:ind w:firstLineChars="200" w:firstLine="643"/>
        <w:contextualSpacing/>
        <w:rPr>
          <w:rFonts w:ascii="楷体_GB2312" w:eastAsia="楷体_GB2312" w:hAnsi="楷体"/>
          <w:b/>
          <w:sz w:val="32"/>
          <w:szCs w:val="32"/>
        </w:rPr>
      </w:pPr>
      <w:r w:rsidRPr="000D3A16">
        <w:rPr>
          <w:rFonts w:ascii="楷体_GB2312" w:eastAsia="楷体_GB2312" w:hAnsi="楷体" w:hint="eastAsia"/>
          <w:b/>
          <w:sz w:val="32"/>
          <w:szCs w:val="32"/>
        </w:rPr>
        <w:t>（三）商标侵权类案件</w:t>
      </w:r>
    </w:p>
    <w:p w:rsidR="000D3A16" w:rsidRPr="000D3A16" w:rsidRDefault="000D3A16" w:rsidP="00665B66">
      <w:pPr>
        <w:adjustRightInd w:val="0"/>
        <w:snapToGrid w:val="0"/>
        <w:spacing w:line="620" w:lineRule="exact"/>
        <w:ind w:firstLineChars="200" w:firstLine="640"/>
        <w:contextualSpacing/>
        <w:rPr>
          <w:rFonts w:ascii="仿宋_GB2312" w:eastAsia="仿宋_GB2312" w:hAnsi="楷体"/>
          <w:sz w:val="32"/>
          <w:szCs w:val="32"/>
        </w:rPr>
      </w:pPr>
      <w:r w:rsidRPr="000D3A16">
        <w:rPr>
          <w:rFonts w:ascii="仿宋_GB2312" w:eastAsia="仿宋_GB2312" w:hAnsi="楷体" w:hint="eastAsia"/>
          <w:sz w:val="32"/>
          <w:szCs w:val="32"/>
        </w:rPr>
        <w:t>该类案件广泛分布在商品生产、销售等领域。案件数量同比减少15件，下降22.39%；罚没款金额同比减少9.15万元，下降6.5%。今后，随着《国务院关于新形势下加强打击侵犯知识产权和制售假冒伪劣商品工作的意见》深入落实，执法力度进一步加大，此类案件虽然仍为执法办案的主要类型之一，但案件数量和罚没款金额将会逐渐减少。</w:t>
      </w:r>
    </w:p>
    <w:p w:rsidR="000D3A16" w:rsidRPr="000D3A16" w:rsidRDefault="000D3A16" w:rsidP="00665B66">
      <w:pPr>
        <w:adjustRightInd w:val="0"/>
        <w:snapToGrid w:val="0"/>
        <w:spacing w:line="620" w:lineRule="exact"/>
        <w:ind w:firstLine="640"/>
        <w:contextualSpacing/>
        <w:rPr>
          <w:rFonts w:ascii="楷体_GB2312" w:eastAsia="楷体_GB2312" w:hAnsi="楷体"/>
          <w:b/>
          <w:sz w:val="32"/>
          <w:szCs w:val="32"/>
        </w:rPr>
      </w:pPr>
      <w:r w:rsidRPr="000D3A16">
        <w:rPr>
          <w:rFonts w:ascii="楷体_GB2312" w:eastAsia="楷体_GB2312" w:hAnsi="楷体" w:hint="eastAsia"/>
          <w:b/>
          <w:sz w:val="32"/>
          <w:szCs w:val="32"/>
        </w:rPr>
        <w:t>（四）特种设备安全类案件</w:t>
      </w:r>
    </w:p>
    <w:p w:rsidR="000D3A16" w:rsidRPr="000D3A16" w:rsidRDefault="000D3A16" w:rsidP="00665B66">
      <w:pPr>
        <w:adjustRightInd w:val="0"/>
        <w:snapToGrid w:val="0"/>
        <w:spacing w:line="620" w:lineRule="exact"/>
        <w:ind w:firstLineChars="200" w:firstLine="640"/>
        <w:contextualSpacing/>
        <w:rPr>
          <w:rFonts w:ascii="仿宋_GB2312" w:eastAsia="仿宋_GB2312"/>
          <w:sz w:val="32"/>
          <w:szCs w:val="32"/>
        </w:rPr>
      </w:pPr>
      <w:r w:rsidRPr="000D3A16">
        <w:rPr>
          <w:rFonts w:ascii="仿宋_GB2312" w:eastAsia="仿宋_GB2312" w:hint="eastAsia"/>
          <w:sz w:val="32"/>
          <w:szCs w:val="32"/>
        </w:rPr>
        <w:t>该类案件数量位列第四，罚没款金额位列第二。案件数量同比增加15件，增幅</w:t>
      </w:r>
      <w:r w:rsidRPr="000D3A16">
        <w:rPr>
          <w:rFonts w:ascii="仿宋_GB2312" w:eastAsia="仿宋_GB2312"/>
          <w:sz w:val="32"/>
          <w:szCs w:val="32"/>
        </w:rPr>
        <w:t>107.14</w:t>
      </w:r>
      <w:r w:rsidRPr="000D3A16">
        <w:rPr>
          <w:rFonts w:ascii="仿宋_GB2312" w:eastAsia="仿宋_GB2312" w:hint="eastAsia"/>
          <w:sz w:val="32"/>
          <w:szCs w:val="32"/>
        </w:rPr>
        <w:t>%；罚没款金额同比增加153.84万元，增幅84.63%。随着新区安全生产工作的深入开展，查处案件数量的大幅增高、个案处罚力度的增大及查处违法行为领域的拓展，是案件数量、罚没款金额较大增幅的直接因素。今后，随着安全生产整治力度的不断加强，此类案件的查办数量将有所增加。</w:t>
      </w:r>
    </w:p>
    <w:p w:rsidR="000D3A16" w:rsidRPr="000D3A16" w:rsidRDefault="000D3A16" w:rsidP="00665B66">
      <w:pPr>
        <w:adjustRightInd w:val="0"/>
        <w:snapToGrid w:val="0"/>
        <w:spacing w:line="620" w:lineRule="exact"/>
        <w:ind w:firstLine="640"/>
        <w:contextualSpacing/>
        <w:rPr>
          <w:rFonts w:ascii="楷体_GB2312" w:eastAsia="楷体_GB2312" w:hAnsi="楷体"/>
          <w:b/>
          <w:sz w:val="32"/>
          <w:szCs w:val="32"/>
        </w:rPr>
      </w:pPr>
      <w:r w:rsidRPr="000D3A16">
        <w:rPr>
          <w:rFonts w:ascii="楷体_GB2312" w:eastAsia="楷体_GB2312" w:hAnsi="楷体" w:hint="eastAsia"/>
          <w:b/>
          <w:sz w:val="32"/>
          <w:szCs w:val="32"/>
        </w:rPr>
        <w:lastRenderedPageBreak/>
        <w:t>(五)广告类案件</w:t>
      </w:r>
    </w:p>
    <w:p w:rsidR="000D3A16" w:rsidRPr="000D3A16" w:rsidRDefault="000D3A16" w:rsidP="00665B66">
      <w:pPr>
        <w:adjustRightInd w:val="0"/>
        <w:snapToGrid w:val="0"/>
        <w:spacing w:line="620" w:lineRule="exact"/>
        <w:ind w:firstLineChars="200" w:firstLine="640"/>
        <w:contextualSpacing/>
        <w:rPr>
          <w:rFonts w:ascii="仿宋_GB2312" w:eastAsia="仿宋_GB2312" w:hAnsi="楷体"/>
          <w:sz w:val="32"/>
          <w:szCs w:val="32"/>
        </w:rPr>
      </w:pPr>
      <w:r w:rsidRPr="000D3A16">
        <w:rPr>
          <w:rFonts w:ascii="仿宋_GB2312" w:eastAsia="仿宋_GB2312" w:hAnsi="楷体" w:hint="eastAsia"/>
          <w:sz w:val="32"/>
          <w:szCs w:val="32"/>
        </w:rPr>
        <w:t>该类案件数量位列第五，罚没款金额位列第八。案件数量同比减少11件，下降23.4%；罚没款金额同比减少193.5万元，下降79.37%。新《广告法》实施后处罚力度的加大、企业主体责任的落实及法律意识的增强是案件数量、罚没金额大幅减少的主要因素。今后，此类案件数量和罚没金额将有所减少，但仍将作为执法办案的主要类型之一 。</w:t>
      </w:r>
    </w:p>
    <w:p w:rsidR="000D3A16" w:rsidRPr="000D3A16" w:rsidRDefault="000D3A16" w:rsidP="00665B66">
      <w:pPr>
        <w:adjustRightInd w:val="0"/>
        <w:snapToGrid w:val="0"/>
        <w:spacing w:line="620" w:lineRule="exact"/>
        <w:ind w:firstLineChars="200" w:firstLine="643"/>
        <w:contextualSpacing/>
        <w:rPr>
          <w:rFonts w:ascii="仿宋_GB2312" w:eastAsia="仿宋_GB2312"/>
          <w:color w:val="C00000"/>
          <w:sz w:val="32"/>
          <w:szCs w:val="32"/>
        </w:rPr>
      </w:pPr>
      <w:r w:rsidRPr="000D3A16">
        <w:rPr>
          <w:rFonts w:ascii="楷体_GB2312" w:eastAsia="楷体_GB2312" w:hAnsi="楷体" w:hint="eastAsia"/>
          <w:b/>
          <w:sz w:val="32"/>
          <w:szCs w:val="32"/>
        </w:rPr>
        <w:t>（六）药品类案件</w:t>
      </w:r>
    </w:p>
    <w:p w:rsidR="000D3A16" w:rsidRPr="000D3A16" w:rsidRDefault="000D3A16" w:rsidP="00665B66">
      <w:pPr>
        <w:adjustRightInd w:val="0"/>
        <w:snapToGrid w:val="0"/>
        <w:spacing w:line="620" w:lineRule="exact"/>
        <w:ind w:firstLine="640"/>
        <w:contextualSpacing/>
        <w:rPr>
          <w:rFonts w:ascii="仿宋_GB2312" w:eastAsia="仿宋_GB2312" w:hAnsi="Times New Roman"/>
          <w:sz w:val="32"/>
          <w:szCs w:val="32"/>
        </w:rPr>
      </w:pPr>
      <w:r w:rsidRPr="000D3A16">
        <w:rPr>
          <w:rFonts w:ascii="仿宋_GB2312" w:eastAsia="仿宋_GB2312" w:hAnsi="Times New Roman" w:hint="eastAsia"/>
          <w:sz w:val="32"/>
          <w:szCs w:val="32"/>
        </w:rPr>
        <w:t>该类案件数量位列第六，罚没款金额位列第三。案件数量同比增长14件，增幅66.67%；罚没款金额减少297.07万元，降幅58.64%。案源渠道由、生产销售假、劣药向无证从事药品经营案、未按照规定实施《药品经营质量管理规范》、非法收购药品等多元化案源拓展，是案件数量增加的重要原因；而大、要案的减少是罚没款金额大幅减少的主要因素。今后，此类案件数量将有所增长，但罚没款金额将有所下降。</w:t>
      </w:r>
    </w:p>
    <w:p w:rsidR="000D3A16" w:rsidRPr="000D3A16" w:rsidRDefault="000D3A16" w:rsidP="00665B66">
      <w:pPr>
        <w:adjustRightInd w:val="0"/>
        <w:snapToGrid w:val="0"/>
        <w:spacing w:line="620" w:lineRule="exact"/>
        <w:ind w:firstLine="640"/>
        <w:contextualSpacing/>
        <w:rPr>
          <w:rFonts w:ascii="楷体_GB2312" w:eastAsia="楷体_GB2312" w:hAnsi="楷体"/>
          <w:b/>
          <w:sz w:val="32"/>
          <w:szCs w:val="32"/>
        </w:rPr>
      </w:pPr>
      <w:r w:rsidRPr="000D3A16">
        <w:rPr>
          <w:rFonts w:ascii="楷体_GB2312" w:eastAsia="楷体_GB2312" w:hAnsi="楷体" w:hint="eastAsia"/>
          <w:b/>
          <w:sz w:val="32"/>
          <w:szCs w:val="32"/>
        </w:rPr>
        <w:t>（七）违反《公司法》登记类案件</w:t>
      </w:r>
    </w:p>
    <w:p w:rsidR="000D3A16" w:rsidRPr="000D3A16" w:rsidRDefault="000D3A16" w:rsidP="00665B66">
      <w:pPr>
        <w:adjustRightInd w:val="0"/>
        <w:snapToGrid w:val="0"/>
        <w:spacing w:line="620" w:lineRule="exact"/>
        <w:ind w:firstLine="640"/>
        <w:contextualSpacing/>
        <w:rPr>
          <w:rFonts w:ascii="仿宋_GB2312" w:eastAsia="仿宋_GB2312" w:hAnsi="楷体"/>
          <w:sz w:val="32"/>
          <w:szCs w:val="32"/>
        </w:rPr>
      </w:pPr>
      <w:r w:rsidRPr="000D3A16">
        <w:rPr>
          <w:rFonts w:ascii="仿宋_GB2312" w:eastAsia="仿宋_GB2312" w:hAnsi="楷体" w:hint="eastAsia"/>
          <w:sz w:val="32"/>
          <w:szCs w:val="32"/>
        </w:rPr>
        <w:t>该类案件数量位列第七，罚没款金额位列第十。案件数量同比增加9件，增幅36%；罚没款金额同比减少26.4万元，下降82.79%。提交虚假材料获得公司登记举报案件的持续增多，处理此类案件的措施不断完善，是此类案件增长的主要原因，但因案</w:t>
      </w:r>
      <w:r w:rsidRPr="000D3A16">
        <w:rPr>
          <w:rFonts w:ascii="仿宋_GB2312" w:eastAsia="仿宋_GB2312" w:hAnsi="楷体" w:hint="eastAsia"/>
          <w:sz w:val="32"/>
          <w:szCs w:val="32"/>
        </w:rPr>
        <w:lastRenderedPageBreak/>
        <w:t>件当事人通常无法找到因此导致罚没款金额下降的主要原因。今后此类案件的数量将有所增加；罚没金额数将趋于稳定。</w:t>
      </w:r>
    </w:p>
    <w:p w:rsidR="000D3A16" w:rsidRPr="000D3A16" w:rsidRDefault="000D3A16" w:rsidP="00665B66">
      <w:pPr>
        <w:adjustRightInd w:val="0"/>
        <w:snapToGrid w:val="0"/>
        <w:spacing w:line="620" w:lineRule="exact"/>
        <w:ind w:firstLine="640"/>
        <w:contextualSpacing/>
        <w:rPr>
          <w:rFonts w:ascii="楷体_GB2312" w:eastAsia="楷体_GB2312" w:hAnsi="楷体"/>
          <w:b/>
          <w:sz w:val="32"/>
          <w:szCs w:val="32"/>
        </w:rPr>
      </w:pPr>
      <w:r w:rsidRPr="000D3A16">
        <w:rPr>
          <w:rFonts w:ascii="楷体_GB2312" w:eastAsia="楷体_GB2312" w:hAnsi="楷体" w:hint="eastAsia"/>
          <w:b/>
          <w:sz w:val="32"/>
          <w:szCs w:val="32"/>
        </w:rPr>
        <w:t>（八）不正当竞争类案件</w:t>
      </w:r>
    </w:p>
    <w:p w:rsidR="000D3A16" w:rsidRPr="000D3A16" w:rsidRDefault="000D3A16" w:rsidP="00665B66">
      <w:pPr>
        <w:adjustRightInd w:val="0"/>
        <w:snapToGrid w:val="0"/>
        <w:spacing w:line="620" w:lineRule="exact"/>
        <w:ind w:firstLine="640"/>
        <w:contextualSpacing/>
        <w:rPr>
          <w:rFonts w:ascii="仿宋_GB2312" w:eastAsia="仿宋_GB2312" w:hAnsi="楷体"/>
          <w:sz w:val="32"/>
          <w:szCs w:val="32"/>
        </w:rPr>
      </w:pPr>
      <w:r w:rsidRPr="000D3A16">
        <w:rPr>
          <w:rFonts w:ascii="仿宋_GB2312" w:eastAsia="仿宋_GB2312" w:hAnsi="楷体" w:hint="eastAsia"/>
          <w:sz w:val="32"/>
          <w:szCs w:val="32"/>
        </w:rPr>
        <w:t>该类案件数量位列第八，罚没款金额位列第五。案件数量同比增加6件，增幅23.08%；罚没款金额同比增加59.1万元，增幅78.59%。举报案件的增加，是此类案件数量增加的主要原因；新《反不正当竞争法》的实施，处罚力度的加大是罚没款金额大幅上升的主要原因。今后，此类案件数量、罚没款金额将继续有所增加。</w:t>
      </w:r>
    </w:p>
    <w:p w:rsidR="000D3A16" w:rsidRPr="000D3A16" w:rsidRDefault="000D3A16" w:rsidP="00665B66">
      <w:pPr>
        <w:adjustRightInd w:val="0"/>
        <w:snapToGrid w:val="0"/>
        <w:spacing w:line="620" w:lineRule="exact"/>
        <w:ind w:firstLine="640"/>
        <w:contextualSpacing/>
        <w:rPr>
          <w:rFonts w:ascii="仿宋_GB2312" w:eastAsia="仿宋_GB2312" w:hAnsi="楷体"/>
          <w:sz w:val="32"/>
          <w:szCs w:val="32"/>
        </w:rPr>
      </w:pPr>
      <w:r w:rsidRPr="000D3A16">
        <w:rPr>
          <w:rFonts w:ascii="楷体_GB2312" w:eastAsia="楷体_GB2312" w:hAnsi="楷体" w:hint="eastAsia"/>
          <w:b/>
          <w:sz w:val="32"/>
          <w:szCs w:val="32"/>
        </w:rPr>
        <w:t>（九）医疗器械类案件</w:t>
      </w:r>
    </w:p>
    <w:p w:rsidR="000D3A16" w:rsidRPr="000D3A16" w:rsidRDefault="000D3A16" w:rsidP="00665B66">
      <w:pPr>
        <w:adjustRightInd w:val="0"/>
        <w:snapToGrid w:val="0"/>
        <w:spacing w:line="620" w:lineRule="exact"/>
        <w:ind w:firstLineChars="200" w:firstLine="640"/>
        <w:contextualSpacing/>
        <w:rPr>
          <w:rFonts w:ascii="仿宋_GB2312" w:eastAsia="仿宋_GB2312" w:hAnsi="Times New Roman"/>
          <w:sz w:val="32"/>
          <w:szCs w:val="32"/>
        </w:rPr>
      </w:pPr>
      <w:r w:rsidRPr="000D3A16">
        <w:rPr>
          <w:rFonts w:ascii="仿宋_GB2312" w:eastAsia="仿宋_GB2312" w:hAnsi="楷体" w:cs="宋体" w:hint="eastAsia"/>
          <w:sz w:val="32"/>
          <w:szCs w:val="32"/>
        </w:rPr>
        <w:t>该类案件数量位列第八，罚没款金额位列第一。案件数量同比增加13件，增幅</w:t>
      </w:r>
      <w:r w:rsidRPr="000D3A16">
        <w:rPr>
          <w:rFonts w:ascii="仿宋_GB2312" w:eastAsia="仿宋_GB2312" w:hAnsi="楷体" w:cs="宋体"/>
          <w:sz w:val="32"/>
          <w:szCs w:val="32"/>
        </w:rPr>
        <w:t>162.5%</w:t>
      </w:r>
      <w:r w:rsidRPr="000D3A16">
        <w:rPr>
          <w:rFonts w:ascii="仿宋_GB2312" w:eastAsia="仿宋_GB2312" w:hAnsi="楷体" w:cs="宋体" w:hint="eastAsia"/>
          <w:sz w:val="32"/>
          <w:szCs w:val="32"/>
        </w:rPr>
        <w:t>；罚没款金额同比增加519.6万元，增幅近52倍。案查处案件数量的大幅增高、个案处罚力度的增大及查处违法行为领域的拓展，是案件数量、罚没款金额较大增幅的直接因素。</w:t>
      </w:r>
      <w:r w:rsidRPr="000D3A16">
        <w:rPr>
          <w:rFonts w:ascii="仿宋_GB2312" w:eastAsia="仿宋_GB2312" w:hAnsi="Times New Roman" w:hint="eastAsia"/>
          <w:sz w:val="32"/>
          <w:szCs w:val="32"/>
        </w:rPr>
        <w:t>今后，此类案件数量有所增加，罚没款金额将有所减少。</w:t>
      </w:r>
    </w:p>
    <w:p w:rsidR="000D3A16" w:rsidRPr="000D3A16" w:rsidRDefault="000D3A16" w:rsidP="00665B66">
      <w:pPr>
        <w:adjustRightInd w:val="0"/>
        <w:snapToGrid w:val="0"/>
        <w:spacing w:line="620" w:lineRule="exact"/>
        <w:ind w:firstLine="640"/>
        <w:contextualSpacing/>
        <w:rPr>
          <w:rFonts w:ascii="楷体_GB2312" w:eastAsia="楷体_GB2312" w:hAnsi="楷体"/>
          <w:b/>
          <w:sz w:val="32"/>
          <w:szCs w:val="32"/>
        </w:rPr>
      </w:pPr>
      <w:r w:rsidRPr="000D3A16">
        <w:rPr>
          <w:rFonts w:ascii="楷体_GB2312" w:eastAsia="楷体_GB2312" w:hAnsi="楷体" w:hint="eastAsia"/>
          <w:b/>
          <w:sz w:val="32"/>
          <w:szCs w:val="32"/>
        </w:rPr>
        <w:t>（十）化妆品类案件</w:t>
      </w:r>
    </w:p>
    <w:p w:rsidR="000D3A16" w:rsidRPr="000D3A16" w:rsidRDefault="000D3A16" w:rsidP="00665B66">
      <w:pPr>
        <w:adjustRightInd w:val="0"/>
        <w:snapToGrid w:val="0"/>
        <w:spacing w:line="620" w:lineRule="exact"/>
        <w:ind w:firstLineChars="200" w:firstLine="640"/>
        <w:contextualSpacing/>
        <w:rPr>
          <w:rFonts w:ascii="仿宋_GB2312" w:eastAsia="仿宋_GB2312" w:hAnsi="Times New Roman"/>
          <w:sz w:val="32"/>
          <w:szCs w:val="32"/>
        </w:rPr>
      </w:pPr>
      <w:r w:rsidRPr="000D3A16">
        <w:rPr>
          <w:rFonts w:ascii="仿宋_GB2312" w:eastAsia="仿宋_GB2312" w:hAnsi="Times New Roman" w:hint="eastAsia"/>
          <w:sz w:val="32"/>
          <w:szCs w:val="32"/>
        </w:rPr>
        <w:t>该类案件数量位列第十，罚没款金额位列第十二。案件数量同比增加5件，增幅400%；罚没款金额同比减少13.72万元，下降95.74%。举报案件的增加是案件数量增长的主要原因，而</w:t>
      </w:r>
      <w:r w:rsidRPr="000D3A16">
        <w:rPr>
          <w:rFonts w:ascii="仿宋_GB2312" w:eastAsia="仿宋_GB2312" w:hAnsi="Times New Roman" w:hint="eastAsia"/>
          <w:sz w:val="32"/>
          <w:szCs w:val="32"/>
        </w:rPr>
        <w:lastRenderedPageBreak/>
        <w:t>大要案的减少是导致案件罚没款金额大幅下降的直接原因。今后此类在案件数量、罚没款金额将会保持稳定。</w:t>
      </w:r>
    </w:p>
    <w:p w:rsidR="000D3A16" w:rsidRPr="000D3A16" w:rsidRDefault="000D3A16" w:rsidP="00665B66">
      <w:pPr>
        <w:adjustRightInd w:val="0"/>
        <w:snapToGrid w:val="0"/>
        <w:spacing w:line="620" w:lineRule="exact"/>
        <w:ind w:firstLine="640"/>
        <w:contextualSpacing/>
        <w:rPr>
          <w:rFonts w:ascii="楷体_GB2312" w:eastAsia="楷体_GB2312" w:hAnsi="楷体"/>
          <w:b/>
          <w:sz w:val="32"/>
          <w:szCs w:val="32"/>
        </w:rPr>
      </w:pPr>
      <w:r w:rsidRPr="000D3A16">
        <w:rPr>
          <w:rFonts w:ascii="楷体_GB2312" w:eastAsia="楷体_GB2312" w:hAnsi="楷体" w:hint="eastAsia"/>
          <w:b/>
          <w:sz w:val="32"/>
          <w:szCs w:val="32"/>
        </w:rPr>
        <w:t>（十一）认证认可类案件</w:t>
      </w:r>
    </w:p>
    <w:p w:rsidR="000D3A16" w:rsidRPr="000D3A16" w:rsidRDefault="000D3A16" w:rsidP="00665B66">
      <w:pPr>
        <w:adjustRightInd w:val="0"/>
        <w:snapToGrid w:val="0"/>
        <w:spacing w:line="620" w:lineRule="exact"/>
        <w:ind w:firstLineChars="200" w:firstLine="640"/>
        <w:contextualSpacing/>
        <w:rPr>
          <w:rFonts w:ascii="宋体" w:hAnsi="宋体" w:cs="仿宋_GB2312"/>
          <w:b/>
          <w:bCs/>
          <w:sz w:val="36"/>
          <w:szCs w:val="36"/>
        </w:rPr>
      </w:pPr>
      <w:r w:rsidRPr="000D3A16">
        <w:rPr>
          <w:rFonts w:ascii="仿宋_GB2312" w:eastAsia="仿宋_GB2312" w:hAnsi="Times New Roman" w:hint="eastAsia"/>
          <w:sz w:val="32"/>
          <w:szCs w:val="32"/>
        </w:rPr>
        <w:t>该类案件数量位列并列第十一，罚没款金额位列第九。此类型案件为近两年新增案件，案件数量同比减少1件，下降25%；罚没款金额同比增加3.48万元，增长40.94%。今后随着案源的扩展，此类案件数量、罚没款金额将会有所增长。</w:t>
      </w:r>
    </w:p>
    <w:p w:rsidR="000D3A16" w:rsidRPr="000D3A16" w:rsidRDefault="000D3A16" w:rsidP="00665B66">
      <w:pPr>
        <w:adjustRightInd w:val="0"/>
        <w:snapToGrid w:val="0"/>
        <w:spacing w:line="620" w:lineRule="exact"/>
        <w:ind w:firstLine="640"/>
        <w:contextualSpacing/>
        <w:rPr>
          <w:rFonts w:ascii="楷体_GB2312" w:eastAsia="楷体_GB2312" w:hAnsi="楷体"/>
          <w:b/>
          <w:sz w:val="32"/>
          <w:szCs w:val="32"/>
        </w:rPr>
      </w:pPr>
      <w:r w:rsidRPr="000D3A16">
        <w:rPr>
          <w:rFonts w:ascii="楷体_GB2312" w:eastAsia="楷体_GB2312" w:hAnsi="楷体" w:hint="eastAsia"/>
          <w:b/>
          <w:sz w:val="32"/>
          <w:szCs w:val="32"/>
        </w:rPr>
        <w:t>（十二）消费者权益保护类案件</w:t>
      </w:r>
    </w:p>
    <w:p w:rsidR="000D3A16" w:rsidRPr="000D3A16" w:rsidRDefault="000D3A16" w:rsidP="00665B66">
      <w:pPr>
        <w:adjustRightInd w:val="0"/>
        <w:snapToGrid w:val="0"/>
        <w:spacing w:line="620" w:lineRule="exact"/>
        <w:ind w:firstLineChars="200" w:firstLine="640"/>
        <w:contextualSpacing/>
        <w:rPr>
          <w:rFonts w:ascii="宋体" w:hAnsi="宋体" w:cs="仿宋_GB2312"/>
          <w:b/>
          <w:bCs/>
          <w:sz w:val="36"/>
          <w:szCs w:val="36"/>
        </w:rPr>
      </w:pPr>
      <w:r w:rsidRPr="000D3A16">
        <w:rPr>
          <w:rFonts w:ascii="仿宋_GB2312" w:eastAsia="仿宋_GB2312" w:hAnsi="Times New Roman" w:hint="eastAsia"/>
          <w:sz w:val="32"/>
          <w:szCs w:val="32"/>
        </w:rPr>
        <w:t>该类案件数量、罚没款金额均位列第十一。案件数量同比增加2件，增幅200%；罚没款金额同比增加1.7万元，增长170%。由于群众维权意识的不断增强，投诉举报数量的持续增长，是该类案件数量和罚没款金额上升的主要原因。今后随着案源的扩展，此类案件数量、罚没款金额将会有所增长。</w:t>
      </w:r>
    </w:p>
    <w:p w:rsidR="00AD182C" w:rsidRPr="000D3A16" w:rsidRDefault="00AD182C" w:rsidP="00665B66">
      <w:pPr>
        <w:spacing w:line="620" w:lineRule="exact"/>
        <w:contextualSpacing/>
        <w:rPr>
          <w:rFonts w:ascii="Times New Roman" w:eastAsia="方正小标宋简体" w:hAnsi="Times New Roman"/>
          <w:bCs/>
          <w:sz w:val="32"/>
          <w:szCs w:val="32"/>
        </w:rPr>
      </w:pPr>
    </w:p>
    <w:p w:rsidR="00AD182C" w:rsidRPr="000D3A16" w:rsidRDefault="00AD182C" w:rsidP="00665B66">
      <w:pPr>
        <w:spacing w:line="620" w:lineRule="exact"/>
        <w:contextualSpacing/>
        <w:jc w:val="center"/>
        <w:rPr>
          <w:rFonts w:ascii="Times New Roman" w:eastAsia="方正小标宋简体" w:hAnsi="Times New Roman"/>
          <w:bCs/>
          <w:sz w:val="32"/>
          <w:szCs w:val="32"/>
        </w:rPr>
      </w:pPr>
    </w:p>
    <w:p w:rsidR="00AD182C" w:rsidRDefault="00AD182C" w:rsidP="00AD182C">
      <w:pPr>
        <w:spacing w:line="600" w:lineRule="exact"/>
        <w:jc w:val="center"/>
        <w:rPr>
          <w:rFonts w:ascii="Times New Roman" w:eastAsia="方正小标宋简体" w:hAnsi="Times New Roman"/>
          <w:bCs/>
          <w:sz w:val="32"/>
          <w:szCs w:val="32"/>
        </w:rPr>
      </w:pPr>
    </w:p>
    <w:sectPr w:rsidR="00AD182C" w:rsidSect="00EE68EC">
      <w:headerReference w:type="default" r:id="rId19"/>
      <w:footerReference w:type="even" r:id="rId20"/>
      <w:footerReference w:type="default" r:id="rId21"/>
      <w:footerReference w:type="first" r:id="rId22"/>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2D" w:rsidRDefault="00715E2D">
      <w:r>
        <w:separator/>
      </w:r>
    </w:p>
  </w:endnote>
  <w:endnote w:type="continuationSeparator" w:id="0">
    <w:p w:rsidR="00715E2D" w:rsidRDefault="0071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rsidTr="0064003D">
      <w:tc>
        <w:tcPr>
          <w:tcW w:w="5000" w:type="pct"/>
        </w:tcPr>
        <w:p w:rsidR="0064003D" w:rsidRPr="007409A9" w:rsidRDefault="0064003D">
          <w:pPr>
            <w:pStyle w:val="a4"/>
            <w:jc w:val="right"/>
            <w:rPr>
              <w:rFonts w:ascii="宋体" w:hAnsi="宋体"/>
              <w:color w:val="4F81BD"/>
              <w:sz w:val="28"/>
              <w:szCs w:val="28"/>
            </w:rPr>
          </w:pPr>
          <w:r w:rsidRPr="007409A9">
            <w:rPr>
              <w:rFonts w:ascii="宋体" w:hAnsi="宋体"/>
              <w:sz w:val="28"/>
              <w:szCs w:val="28"/>
            </w:rPr>
            <w:fldChar w:fldCharType="begin"/>
          </w:r>
          <w:r w:rsidRPr="007409A9">
            <w:rPr>
              <w:rFonts w:ascii="宋体" w:hAnsi="宋体"/>
              <w:sz w:val="28"/>
              <w:szCs w:val="28"/>
            </w:rPr>
            <w:instrText xml:space="preserve"> PAGE   \* MERGEFORMAT </w:instrText>
          </w:r>
          <w:r w:rsidRPr="007409A9">
            <w:rPr>
              <w:rFonts w:ascii="宋体" w:hAnsi="宋体"/>
              <w:sz w:val="28"/>
              <w:szCs w:val="28"/>
            </w:rPr>
            <w:fldChar w:fldCharType="separate"/>
          </w:r>
          <w:r w:rsidR="00455332" w:rsidRPr="00455332">
            <w:rPr>
              <w:rFonts w:ascii="宋体" w:hAnsi="宋体"/>
              <w:noProof/>
              <w:color w:val="4F81BD"/>
              <w:sz w:val="28"/>
              <w:szCs w:val="28"/>
              <w:lang w:val="zh-CN"/>
            </w:rPr>
            <w:t>-</w:t>
          </w:r>
          <w:r w:rsidR="00455332">
            <w:rPr>
              <w:rFonts w:ascii="宋体" w:hAnsi="宋体"/>
              <w:noProof/>
              <w:sz w:val="28"/>
              <w:szCs w:val="28"/>
            </w:rPr>
            <w:t xml:space="preserve"> 2 -</w:t>
          </w:r>
          <w:r w:rsidRPr="007409A9">
            <w:rPr>
              <w:rFonts w:ascii="宋体" w:hAnsi="宋体"/>
              <w:sz w:val="28"/>
              <w:szCs w:val="28"/>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455332" w:rsidRPr="00455332">
      <w:rPr>
        <w:rFonts w:ascii="宋体" w:hAnsi="宋体"/>
        <w:noProof/>
        <w:sz w:val="28"/>
        <w:szCs w:val="28"/>
        <w:lang w:val="zh-CN"/>
      </w:rPr>
      <w:t>-</w:t>
    </w:r>
    <w:r w:rsidR="00455332">
      <w:rPr>
        <w:rFonts w:ascii="宋体" w:hAnsi="宋体"/>
        <w:noProof/>
        <w:sz w:val="28"/>
        <w:szCs w:val="28"/>
      </w:rPr>
      <w:t xml:space="preserve"> 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2D" w:rsidRDefault="00715E2D">
      <w:r>
        <w:separator/>
      </w:r>
    </w:p>
  </w:footnote>
  <w:footnote w:type="continuationSeparator" w:id="0">
    <w:p w:rsidR="00715E2D" w:rsidRDefault="0071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1282F"/>
    <w:multiLevelType w:val="hybridMultilevel"/>
    <w:tmpl w:val="BBCC1EEA"/>
    <w:lvl w:ilvl="0" w:tplc="61EABAB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5655C"/>
    <w:rsid w:val="000576B8"/>
    <w:rsid w:val="000D1D78"/>
    <w:rsid w:val="000D3A16"/>
    <w:rsid w:val="000E4FCE"/>
    <w:rsid w:val="000F6E49"/>
    <w:rsid w:val="00195A1E"/>
    <w:rsid w:val="001C6788"/>
    <w:rsid w:val="002978B7"/>
    <w:rsid w:val="002D4CDA"/>
    <w:rsid w:val="002D6AC9"/>
    <w:rsid w:val="002F5F30"/>
    <w:rsid w:val="002F7D57"/>
    <w:rsid w:val="00300DBC"/>
    <w:rsid w:val="0034245D"/>
    <w:rsid w:val="004361CD"/>
    <w:rsid w:val="00443E53"/>
    <w:rsid w:val="00455332"/>
    <w:rsid w:val="00461523"/>
    <w:rsid w:val="00473AFF"/>
    <w:rsid w:val="004C2E56"/>
    <w:rsid w:val="00567C7B"/>
    <w:rsid w:val="005A1D14"/>
    <w:rsid w:val="00603591"/>
    <w:rsid w:val="0064003D"/>
    <w:rsid w:val="00665B66"/>
    <w:rsid w:val="006C0D60"/>
    <w:rsid w:val="006D0561"/>
    <w:rsid w:val="006D7841"/>
    <w:rsid w:val="0070189A"/>
    <w:rsid w:val="00715E2D"/>
    <w:rsid w:val="007409A9"/>
    <w:rsid w:val="007C6326"/>
    <w:rsid w:val="007D293D"/>
    <w:rsid w:val="007E7372"/>
    <w:rsid w:val="0083363C"/>
    <w:rsid w:val="00835E5A"/>
    <w:rsid w:val="00905182"/>
    <w:rsid w:val="00905B2B"/>
    <w:rsid w:val="00942849"/>
    <w:rsid w:val="009A29B3"/>
    <w:rsid w:val="00A6254D"/>
    <w:rsid w:val="00A6507C"/>
    <w:rsid w:val="00A920EB"/>
    <w:rsid w:val="00AD182C"/>
    <w:rsid w:val="00AE1E76"/>
    <w:rsid w:val="00B35FE3"/>
    <w:rsid w:val="00BB0185"/>
    <w:rsid w:val="00BB6A68"/>
    <w:rsid w:val="00BC27A6"/>
    <w:rsid w:val="00C82FB8"/>
    <w:rsid w:val="00C838BB"/>
    <w:rsid w:val="00CB1801"/>
    <w:rsid w:val="00CC7262"/>
    <w:rsid w:val="00CF22BA"/>
    <w:rsid w:val="00D94B34"/>
    <w:rsid w:val="00DA3FA8"/>
    <w:rsid w:val="00DC1E42"/>
    <w:rsid w:val="00DE5155"/>
    <w:rsid w:val="00E13E49"/>
    <w:rsid w:val="00EE68EC"/>
    <w:rsid w:val="00FD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paragraph" w:styleId="a8">
    <w:name w:val="Date"/>
    <w:basedOn w:val="a"/>
    <w:next w:val="a"/>
    <w:link w:val="Char2"/>
    <w:uiPriority w:val="99"/>
    <w:semiHidden/>
    <w:unhideWhenUsed/>
    <w:rsid w:val="000D3A16"/>
    <w:pPr>
      <w:ind w:leftChars="2500" w:left="100"/>
    </w:pPr>
  </w:style>
  <w:style w:type="character" w:customStyle="1" w:styleId="Char2">
    <w:name w:val="日期 Char"/>
    <w:link w:val="a8"/>
    <w:uiPriority w:val="99"/>
    <w:semiHidden/>
    <w:rsid w:val="000D3A16"/>
    <w:rPr>
      <w:kern w:val="2"/>
      <w:sz w:val="21"/>
      <w:szCs w:val="22"/>
    </w:rPr>
  </w:style>
  <w:style w:type="paragraph" w:styleId="a9">
    <w:name w:val="Balloon Text"/>
    <w:basedOn w:val="a"/>
    <w:link w:val="Char3"/>
    <w:uiPriority w:val="99"/>
    <w:semiHidden/>
    <w:unhideWhenUsed/>
    <w:rsid w:val="00A6507C"/>
    <w:rPr>
      <w:sz w:val="18"/>
      <w:szCs w:val="18"/>
    </w:rPr>
  </w:style>
  <w:style w:type="character" w:customStyle="1" w:styleId="Char3">
    <w:name w:val="批注框文本 Char"/>
    <w:link w:val="a9"/>
    <w:uiPriority w:val="99"/>
    <w:semiHidden/>
    <w:rsid w:val="00A650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___5.xls"/><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Microsoft_Excel_97-2003____2.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97-2003____4.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Microsoft_Excel_97-2003____1.xls"/><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___3.xls"/><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2E58-B970-4B26-8A94-518C19DA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678</Words>
  <Characters>3869</Characters>
  <Application>Microsoft Office Word</Application>
  <DocSecurity>0</DocSecurity>
  <Lines>32</Lines>
  <Paragraphs>9</Paragraphs>
  <ScaleCrop>false</ScaleCrop>
  <Company>微软中国</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4</cp:revision>
  <dcterms:created xsi:type="dcterms:W3CDTF">2019-01-14T05:54:00Z</dcterms:created>
  <dcterms:modified xsi:type="dcterms:W3CDTF">2019-01-22T02:42:00Z</dcterms:modified>
</cp:coreProperties>
</file>