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津市监滨罚〔2020〕929号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：天津创新惠科技合伙企业（有限合伙）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91120116MA0772357K</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住所（住址）：天津滨海新区中新生态城中成大道以西、中滨大道以南生态建设公寓9号楼3层301房间-118</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法定代表人（负责人、经营者）：唐曦</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w:t>
      </w:r>
      <w:bookmarkStart w:id="0" w:name="_GoBack"/>
      <w:bookmarkEnd w:id="0"/>
      <w:r>
        <w:rPr>
          <w:rFonts w:hint="eastAsia" w:ascii="仿宋_GB2312" w:eastAsia="仿宋_GB2312"/>
          <w:sz w:val="32"/>
          <w:szCs w:val="32"/>
        </w:rPr>
        <w:t>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吊销天津创新惠科技合伙企业（有限合伙）的营业执照。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172085</wp:posOffset>
                </wp:positionV>
                <wp:extent cx="5550535" cy="635"/>
                <wp:effectExtent l="8890" t="9525" r="12700" b="8890"/>
                <wp:wrapNone/>
                <wp:docPr id="18"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60288;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BP9C&#10;2QAAAAkBAAAPAAAAAAAAAAEAIAAAACIAAABkcnMvZG93bnJldi54bWxQSwECFAAUAAAACACHTuJA&#10;/F6C9OcBAACvAwAADgAAAAAAAAABACAAAAAoAQAAZHJzL2Uyb0RvYy54bWxQSwUGAAAAAAYABgBZ&#10;AQAAgQU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3" w:type="default"/>
          <w:footerReference r:id="rId4" w:type="default"/>
          <w:footerReference r:id="rId5"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10160" t="5715" r="8890" b="12065"/>
                <wp:wrapNone/>
                <wp:docPr id="17"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GNInQvwAQAAuA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津市监滨罚〔2020〕930号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：天津立达科技股权投资基金合伙企业（有限合伙）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91120116586438076H</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住所（住址）：中新天津生态城建设公寓10号围合117号房</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法定代表人（负责人、经营者）：天津立达科技股权投资基金管理有限公司（委派代表：刘先文）</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吊销天津立达科技股权投资基金合伙企业（有限合伙）的营业执照。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8890" t="15240" r="12700" b="12700"/>
                <wp:wrapNone/>
                <wp:docPr id="16"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62336;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BP9C&#10;2QAAAAkBAAAPAAAAAAAAAAEAIAAAACIAAABkcnMvZG93bnJldi54bWxQSwECFAAUAAAACACHTuJA&#10;edlWoecBAACvAwAADgAAAAAAAAABACAAAAAoAQAAZHJzL2Uyb0RvYy54bWxQSwUGAAAAAAYABgBZ&#10;AQAAgQU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6" w:type="default"/>
          <w:footerReference r:id="rId7" w:type="default"/>
          <w:footerReference r:id="rId8"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10160" t="11430" r="8890" b="6350"/>
                <wp:wrapNone/>
                <wp:docPr id="15"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GU35tXwAQAAuA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津市监滨罚〔2020〕931号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：天津易邦东金股权投资基金合伙企业（有限合伙）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9112011657233206XY</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住所（住址）：天津生态城动漫中路482创智大厦203室-160</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法定代表人（负责人、经营者）：深圳市东金投资管理有限公司（委派代表：兰海）</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吊销天津易邦东金股权投资基金合伙企业（有限合伙）的营业执照。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172085</wp:posOffset>
                </wp:positionV>
                <wp:extent cx="5550535" cy="635"/>
                <wp:effectExtent l="8890" t="15240" r="12700" b="12700"/>
                <wp:wrapNone/>
                <wp:docPr id="14"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64384;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BP9C&#10;2QAAAAkBAAAPAAAAAAAAAAEAIAAAACIAAABkcnMvZG93bnJldi54bWxQSwECFAAUAAAACACHTuJA&#10;YzYhcucBAACvAwAADgAAAAAAAAABACAAAAAoAQAAZHJzL2Uyb0RvYy54bWxQSwUGAAAAAAYABgBZ&#10;AQAAgQU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9" w:type="default"/>
          <w:footerReference r:id="rId10" w:type="default"/>
          <w:footerReference r:id="rId11"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20807045</wp:posOffset>
                </wp:positionV>
                <wp:extent cx="5762625" cy="1270"/>
                <wp:effectExtent l="10160" t="11430" r="8890" b="6350"/>
                <wp:wrapNone/>
                <wp:docPr id="13"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6336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usBps8QEAALg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津市监滨罚〔2020〕932号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：长江（天津）股权投资基金管理合伙企业（有限合伙）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91120116562650152N</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住所（住址）：天津生态城动漫中路482号创智大厦203室-184</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法定代表人（负责人、经营者）：嘉信（天津）股权投资基金管理有限公司（委派代表：龚刚）;</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吊销长江（天津）股权投资基金管理合伙企业（有限合伙）的营业执照。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66432" behindDoc="0" locked="0" layoutInCell="1" allowOverlap="1">
                <wp:simplePos x="0" y="0"/>
                <wp:positionH relativeFrom="column">
                  <wp:posOffset>-115570</wp:posOffset>
                </wp:positionH>
                <wp:positionV relativeFrom="paragraph">
                  <wp:posOffset>172085</wp:posOffset>
                </wp:positionV>
                <wp:extent cx="5550535" cy="635"/>
                <wp:effectExtent l="8890" t="15240" r="12700" b="12700"/>
                <wp:wrapNone/>
                <wp:docPr id="12"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6643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BP9C&#10;2QAAAAkBAAAPAAAAAAAAAAEAIAAAACIAAABkcnMvZG93bnJldi54bWxQSwECFAAUAAAACACHTuJA&#10;DAHI3OcBAACvAwAADgAAAAAAAAABACAAAAAoAQAAZHJzL2Uyb0RvYy54bWxQSwUGAAAAAAYABgBZ&#10;AQAAgQU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12" w:type="default"/>
          <w:footerReference r:id="rId13" w:type="default"/>
          <w:footerReference r:id="rId14"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20807045</wp:posOffset>
                </wp:positionV>
                <wp:extent cx="5762625" cy="1270"/>
                <wp:effectExtent l="10160" t="11430" r="8890" b="6350"/>
                <wp:wrapNone/>
                <wp:docPr id="11"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6540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oz2Gy8QEAALg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津市监滨罚〔2020〕933号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：嘉信长江（天津）股权投资基金合伙企业（有限合伙）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91120116562651614C</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住所（住址）：天津生态城动漫中路482号创智大厦203室-185</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法定代表人（负责人、经营者）：长江（天津）股权投资基金管理合伙企业（有限合伙）（委派代表：龚刚）;</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吊销嘉信长江（天津）股权投资基金合伙企业（有限合伙）的营业执照。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68480" behindDoc="0" locked="0" layoutInCell="1" allowOverlap="1">
                <wp:simplePos x="0" y="0"/>
                <wp:positionH relativeFrom="column">
                  <wp:posOffset>-115570</wp:posOffset>
                </wp:positionH>
                <wp:positionV relativeFrom="paragraph">
                  <wp:posOffset>172085</wp:posOffset>
                </wp:positionV>
                <wp:extent cx="5550535" cy="635"/>
                <wp:effectExtent l="8890" t="15240" r="12700" b="12700"/>
                <wp:wrapNone/>
                <wp:docPr id="10"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68480;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BP9C&#10;2QAAAAkBAAAPAAAAAAAAAAEAIAAAACIAAABkcnMvZG93bnJldi54bWxQSwECFAAUAAAACACHTuJA&#10;Fu6/D+cBAACvAwAADgAAAAAAAAABACAAAAAoAQAAZHJzL2Uyb0RvYy54bWxQSwUGAAAAAAYABgBZ&#10;AQAAgQU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15" w:type="default"/>
          <w:footerReference r:id="rId16" w:type="default"/>
          <w:footerReference r:id="rId17"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20807045</wp:posOffset>
                </wp:positionV>
                <wp:extent cx="5762625" cy="1270"/>
                <wp:effectExtent l="10160" t="11430" r="8890" b="6350"/>
                <wp:wrapNone/>
                <wp:docPr id="9"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6745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O+MusXwAQAAtw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津市监滨罚〔2020〕934号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：天津瑞通股权投资基金合伙企业（有限合伙）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91120116566121362Y</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住所（住址）：天津生态城动漫中路482号创智大厦203室-204</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法定代表人（负责人、经营者）：天津长荣投资管理有限公司（委派代表：刘姣芝）;</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吊销天津瑞通股权投资基金合伙企业（有限合伙）的营业执照。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70528" behindDoc="0" locked="0" layoutInCell="1" allowOverlap="1">
                <wp:simplePos x="0" y="0"/>
                <wp:positionH relativeFrom="column">
                  <wp:posOffset>-115570</wp:posOffset>
                </wp:positionH>
                <wp:positionV relativeFrom="paragraph">
                  <wp:posOffset>172085</wp:posOffset>
                </wp:positionV>
                <wp:extent cx="5550535" cy="635"/>
                <wp:effectExtent l="8890" t="15240" r="12700" b="12700"/>
                <wp:wrapNone/>
                <wp:docPr id="8"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70528;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0E/0LZ&#10;AAAACQEAAA8AAAAAAAAAAQAgAAAAIgAAAGRycy9kb3ducmV2LnhtbFBLAQIUABQAAAAIAIdO4kAI&#10;1J3d5gEAAK4DAAAOAAAAAAAAAAEAIAAAACgBAABkcnMvZTJvRG9jLnhtbFBLBQYAAAAABgAGAFkB&#10;AACABQ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18" w:type="default"/>
          <w:footerReference r:id="rId19" w:type="default"/>
          <w:footerReference r:id="rId20"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20807045</wp:posOffset>
                </wp:positionV>
                <wp:extent cx="5762625" cy="1270"/>
                <wp:effectExtent l="10160" t="11430" r="8890" b="6350"/>
                <wp:wrapNone/>
                <wp:docPr id="7"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6950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D77SbPwAQAAtw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津市监滨罚〔2020〕935号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：天津博瑞康企业管理合伙企业（有限合伙）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91120116341027631Q</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住所（住址）：天津生态城动漫中路482号创智大厦203室-299</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法定代表人（负责人、经营者）：田稼源</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吊销天津博瑞康企业管理合伙企业（有限合伙）的营业执照。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72576" behindDoc="0" locked="0" layoutInCell="1" allowOverlap="1">
                <wp:simplePos x="0" y="0"/>
                <wp:positionH relativeFrom="column">
                  <wp:posOffset>-115570</wp:posOffset>
                </wp:positionH>
                <wp:positionV relativeFrom="paragraph">
                  <wp:posOffset>172085</wp:posOffset>
                </wp:positionV>
                <wp:extent cx="5550535" cy="635"/>
                <wp:effectExtent l="8890" t="9525" r="12700" b="8890"/>
                <wp:wrapNone/>
                <wp:docPr id="6"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72576;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0E/0LZ&#10;AAAACQEAAA8AAAAAAAAAAQAgAAAAIgAAAGRycy9kb3ducmV2LnhtbFBLAQIUABQAAAAIAIdO4kCN&#10;U0mI5gEAAK4DAAAOAAAAAAAAAAEAIAAAACgBAABkcnMvZTJvRG9jLnhtbFBLBQYAAAAABgAGAFkB&#10;AACABQ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21" w:type="default"/>
          <w:footerReference r:id="rId22" w:type="default"/>
          <w:footerReference r:id="rId23"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20807045</wp:posOffset>
                </wp:positionV>
                <wp:extent cx="5762625" cy="1270"/>
                <wp:effectExtent l="10160" t="5715" r="8890" b="12065"/>
                <wp:wrapNone/>
                <wp:docPr id="5"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7155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DiEMm3wAQAAtw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津市监滨罚〔2020〕936号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：未来之星（天津）文化交流中心（有限合伙）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9112011658977960X4</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住所（住址）：天津中新生态城动漫中路482号创智大厦204室-013</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法定代表人（负责人、经营者）：天津布客文化传播有限公司（委派代表：鲁旭）;</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吊销未来之星（天津）文化交流中心（有限合伙）的营业执照。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74624" behindDoc="0" locked="0" layoutInCell="1" allowOverlap="1">
                <wp:simplePos x="0" y="0"/>
                <wp:positionH relativeFrom="column">
                  <wp:posOffset>-115570</wp:posOffset>
                </wp:positionH>
                <wp:positionV relativeFrom="paragraph">
                  <wp:posOffset>172085</wp:posOffset>
                </wp:positionV>
                <wp:extent cx="5550535" cy="635"/>
                <wp:effectExtent l="8890" t="8255" r="12700" b="10160"/>
                <wp:wrapNone/>
                <wp:docPr id="4"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74624;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0E/0LZ&#10;AAAACQEAAA8AAAAAAAAAAQAgAAAAIgAAAGRycy9kb3ducmV2LnhtbFBLAQIUABQAAAAIAIdO4kCX&#10;vD5b5gEAAK4DAAAOAAAAAAAAAAEAIAAAACgBAABkcnMvZTJvRG9jLnhtbFBLBQYAAAAABgAGAFkB&#10;AACABQ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24" w:type="default"/>
          <w:footerReference r:id="rId25" w:type="default"/>
          <w:footerReference r:id="rId26"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20807045</wp:posOffset>
                </wp:positionV>
                <wp:extent cx="5762625" cy="1270"/>
                <wp:effectExtent l="10160" t="13970" r="8890" b="13335"/>
                <wp:wrapNone/>
                <wp:docPr id="3"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7360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HMDztTwAQAAtw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天津市滨海新区市场监督管理局</w:t>
      </w:r>
    </w:p>
    <w:p>
      <w:pPr>
        <w:spacing w:line="640" w:lineRule="exact"/>
        <w:jc w:val="center"/>
        <w:rPr>
          <w:rFonts w:eastAsia="方正小标宋简体"/>
          <w:color w:val="000000"/>
          <w:sz w:val="44"/>
          <w:szCs w:val="44"/>
        </w:rPr>
      </w:pPr>
      <w:r>
        <w:rPr>
          <w:rFonts w:hint="eastAsia" w:eastAsia="方正小标宋简体" w:cs="方正小标宋简体"/>
          <w:color w:val="000000"/>
          <w:sz w:val="44"/>
          <w:szCs w:val="44"/>
        </w:rPr>
        <w:t>行政处罚决定书</w:t>
      </w:r>
    </w:p>
    <w:p>
      <w:pPr>
        <w:wordWrap w:val="0"/>
        <w:snapToGrid w:val="0"/>
        <w:spacing w:before="312" w:beforeLines="100" w:after="312" w:afterLines="100" w:line="520" w:lineRule="exact"/>
        <w:jc w:val="center"/>
        <w:rPr>
          <w:rFonts w:eastAsia="仿宋_GB2312" w:cs="仿宋_GB2312"/>
          <w:color w:val="000000"/>
          <w:sz w:val="32"/>
          <w:szCs w:val="32"/>
        </w:rPr>
      </w:pPr>
      <w:r>
        <w:rPr>
          <w:rFonts w:hint="eastAsia" w:eastAsia="仿宋_GB2312" w:cs="仿宋_GB2312"/>
          <w:color w:val="000000"/>
          <w:sz w:val="32"/>
          <w:szCs w:val="32"/>
        </w:rPr>
        <w:t>津市监滨罚〔2020〕937号</w:t>
      </w:r>
    </w:p>
    <w:p>
      <w:pPr>
        <w:spacing w:line="520" w:lineRule="exact"/>
        <w:rPr>
          <w:rFonts w:ascii="仿宋_GB2312" w:hAnsi="仿宋" w:eastAsia="仿宋_GB2312"/>
          <w:sz w:val="32"/>
          <w:szCs w:val="32"/>
        </w:rPr>
      </w:pPr>
      <w:r>
        <w:rPr>
          <w:rFonts w:hint="eastAsia" w:eastAsia="仿宋_GB2312" w:cs="微软雅黑"/>
          <w:kern w:val="1"/>
          <w:sz w:val="32"/>
          <w:szCs w:val="32"/>
        </w:rPr>
        <w:t>当事人</w:t>
      </w:r>
      <w:r>
        <w:rPr>
          <w:rFonts w:hint="eastAsia" w:eastAsia="仿宋_GB2312" w:cs="Mongolian Baiti"/>
          <w:kern w:val="1"/>
          <w:sz w:val="32"/>
          <w:szCs w:val="32"/>
        </w:rPr>
        <w:t>：天津波顿股权投资基金合伙企业（有限合伙）</w:t>
      </w:r>
      <w:r>
        <w:rPr>
          <w:rFonts w:ascii="仿宋_GB2312" w:hAnsi="仿宋" w:eastAsia="仿宋_GB2312"/>
          <w:sz w:val="32"/>
          <w:szCs w:val="32"/>
        </w:rPr>
        <w:t xml:space="preserve"> </w:t>
      </w:r>
    </w:p>
    <w:p>
      <w:pPr>
        <w:spacing w:line="520" w:lineRule="exact"/>
        <w:rPr>
          <w:rFonts w:eastAsia="仿宋_GB2312" w:cs="Mongolian Baiti"/>
          <w:kern w:val="1"/>
          <w:sz w:val="32"/>
          <w:szCs w:val="32"/>
          <w:u w:val="single"/>
        </w:rPr>
      </w:pPr>
      <w:r>
        <w:rPr>
          <w:rFonts w:hint="eastAsia" w:eastAsia="仿宋_GB2312" w:cs="Mongolian Baiti"/>
          <w:kern w:val="1"/>
          <w:sz w:val="32"/>
          <w:szCs w:val="32"/>
        </w:rPr>
        <w:t>主体资格证照名称：营业执照</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统一社会信用代码（注册号）：</w:t>
      </w:r>
      <w:r>
        <w:rPr>
          <w:rFonts w:eastAsia="仿宋_GB2312" w:cs="Mongolian Baiti"/>
          <w:kern w:val="1"/>
          <w:sz w:val="32"/>
          <w:szCs w:val="32"/>
        </w:rPr>
        <w:t>91120116581334569P</w:t>
      </w:r>
    </w:p>
    <w:p>
      <w:pPr>
        <w:snapToGrid w:val="0"/>
        <w:spacing w:line="520" w:lineRule="exact"/>
        <w:jc w:val="left"/>
        <w:rPr>
          <w:rFonts w:ascii="仿宋_GB2312" w:hAnsi="仿宋" w:eastAsia="仿宋_GB2312"/>
          <w:sz w:val="32"/>
          <w:szCs w:val="32"/>
        </w:rPr>
      </w:pPr>
      <w:r>
        <w:rPr>
          <w:rFonts w:hint="eastAsia" w:eastAsia="仿宋_GB2312" w:cs="Mongolian Baiti"/>
          <w:kern w:val="1"/>
          <w:sz w:val="32"/>
          <w:szCs w:val="32"/>
        </w:rPr>
        <w:t>住所（住址）：天津滨海旅游区一号楼四层402室</w:t>
      </w:r>
    </w:p>
    <w:p>
      <w:pPr>
        <w:snapToGrid w:val="0"/>
        <w:spacing w:line="520" w:lineRule="exact"/>
        <w:jc w:val="left"/>
        <w:rPr>
          <w:rFonts w:hint="eastAsia" w:eastAsia="仿宋_GB2312" w:cs="Mongolian Baiti"/>
          <w:kern w:val="1"/>
          <w:sz w:val="32"/>
          <w:szCs w:val="32"/>
        </w:rPr>
      </w:pPr>
      <w:r>
        <w:rPr>
          <w:rFonts w:hint="eastAsia" w:eastAsia="仿宋_GB2312" w:cs="Mongolian Baiti"/>
          <w:kern w:val="1"/>
          <w:sz w:val="32"/>
          <w:szCs w:val="32"/>
        </w:rPr>
        <w:t>法定代表人（负责人、经营者）：佟玲玲</w:t>
      </w:r>
    </w:p>
    <w:p>
      <w:pPr>
        <w:snapToGrid w:val="0"/>
        <w:spacing w:line="520" w:lineRule="exact"/>
        <w:jc w:val="left"/>
        <w:rPr>
          <w:rFonts w:hint="eastAsia" w:ascii="仿宋_GB2312" w:eastAsia="仿宋_GB2312"/>
          <w:sz w:val="32"/>
          <w:szCs w:val="32"/>
        </w:rPr>
      </w:pPr>
    </w:p>
    <w:p>
      <w:pPr>
        <w:snapToGrid w:val="0"/>
        <w:spacing w:line="360" w:lineRule="auto"/>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依据《滨海新区市场监管局2020年清理长期停业未经营企业工作方案》（津滨市场监管政服〔2020〕30号）提供的《滨海新区连续三年（2016年度—2018年度）未报送年报的企业名单》，</w:t>
      </w:r>
      <w:r>
        <w:rPr>
          <w:rFonts w:hint="eastAsia" w:eastAsia="仿宋_GB2312"/>
          <w:sz w:val="32"/>
          <w:szCs w:val="32"/>
        </w:rPr>
        <w:t>当事人</w:t>
      </w:r>
      <w:r>
        <w:rPr>
          <w:rFonts w:hint="eastAsia" w:ascii="仿宋_GB2312" w:eastAsia="仿宋_GB2312"/>
          <w:kern w:val="0"/>
          <w:sz w:val="32"/>
          <w:szCs w:val="32"/>
        </w:rPr>
        <w:t>连续三年（2016年度—2018年度）未报送年报</w:t>
      </w:r>
      <w:r>
        <w:rPr>
          <w:rFonts w:hint="eastAsia" w:ascii="仿宋_GB2312" w:eastAsia="仿宋_GB2312"/>
          <w:color w:val="000000"/>
          <w:kern w:val="0"/>
          <w:sz w:val="32"/>
          <w:szCs w:val="32"/>
        </w:rPr>
        <w:t>，长期停业未经营。</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经查询天津市市场主体信用信息公示系统，未发现当事人</w:t>
      </w:r>
      <w:r>
        <w:rPr>
          <w:rFonts w:hint="eastAsia" w:ascii="仿宋_GB2312" w:eastAsia="仿宋_GB2312"/>
          <w:kern w:val="0"/>
          <w:sz w:val="32"/>
          <w:szCs w:val="32"/>
        </w:rPr>
        <w:t>（2016年度—2018年度）</w:t>
      </w:r>
      <w:r>
        <w:rPr>
          <w:rFonts w:hint="eastAsia" w:ascii="仿宋_GB2312" w:eastAsia="仿宋_GB2312"/>
          <w:color w:val="000000"/>
          <w:kern w:val="0"/>
          <w:sz w:val="32"/>
          <w:szCs w:val="32"/>
        </w:rPr>
        <w:t>企业年报信息。</w:t>
      </w:r>
    </w:p>
    <w:p>
      <w:pPr>
        <w:tabs>
          <w:tab w:val="right" w:pos="8306"/>
        </w:tabs>
        <w:snapToGrid w:val="0"/>
        <w:spacing w:line="360" w:lineRule="auto"/>
        <w:ind w:firstLine="640" w:firstLineChars="200"/>
        <w:rPr>
          <w:rFonts w:ascii="仿宋_GB2312" w:hAnsi="宋体" w:eastAsia="仿宋_GB2312"/>
          <w:sz w:val="32"/>
          <w:szCs w:val="32"/>
        </w:rPr>
      </w:pPr>
      <w:r>
        <w:rPr>
          <w:rFonts w:hint="eastAsia" w:ascii="仿宋_GB2312" w:eastAsia="仿宋_GB2312"/>
          <w:color w:val="000000"/>
          <w:kern w:val="0"/>
          <w:sz w:val="32"/>
          <w:szCs w:val="32"/>
        </w:rPr>
        <w:t>经查询天津市市场监督管理委员会综合业务管理系统平台，未发现当事人</w:t>
      </w:r>
      <w:r>
        <w:rPr>
          <w:rFonts w:hint="eastAsia" w:ascii="仿宋_GB2312" w:hAnsi="宋体" w:eastAsia="仿宋_GB2312"/>
          <w:sz w:val="32"/>
          <w:szCs w:val="32"/>
        </w:rPr>
        <w:t>2017年1月1日以后存在变更、换照、备案等工商登记信息。</w:t>
      </w:r>
    </w:p>
    <w:p>
      <w:pPr>
        <w:tabs>
          <w:tab w:val="right" w:pos="8306"/>
        </w:tabs>
        <w:snapToGrid w:val="0"/>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经执法人员现场检查，</w:t>
      </w:r>
      <w:r>
        <w:rPr>
          <w:rFonts w:hint="eastAsia" w:ascii="仿宋_GB2312" w:hAnsi="宋体" w:eastAsia="仿宋_GB2312"/>
          <w:sz w:val="32"/>
          <w:szCs w:val="32"/>
        </w:rPr>
        <w:t>当事人登记的住所无法取得联系。</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综上，当事人连续三个年度（2016年度-2018年度）未依法报送公示年度报告。同时，当事人</w:t>
      </w:r>
      <w:r>
        <w:rPr>
          <w:rFonts w:hint="eastAsia" w:ascii="仿宋_GB2312" w:hAnsi="宋体" w:eastAsia="仿宋_GB2312"/>
          <w:sz w:val="32"/>
          <w:szCs w:val="32"/>
        </w:rPr>
        <w:t>自2017年1月1日以来无变更、换照及备案等工商登记，</w:t>
      </w:r>
      <w:r>
        <w:rPr>
          <w:rFonts w:hint="eastAsia" w:ascii="仿宋_GB2312" w:hAnsi="仿宋" w:eastAsia="仿宋_GB2312"/>
          <w:sz w:val="32"/>
          <w:szCs w:val="32"/>
        </w:rPr>
        <w:t>通过当事人登记的住所或者经营场所无法取得联系。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上述事实，主要有以下证据证明：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1.当事人户卡1份，证明当事人的主体资格</w:t>
      </w:r>
      <w:r>
        <w:rPr>
          <w:rFonts w:hint="eastAsia" w:ascii="仿宋_GB2312" w:hAnsi="仿宋" w:eastAsia="仿宋_GB2312"/>
          <w:sz w:val="32"/>
          <w:szCs w:val="32"/>
          <w:lang w:eastAsia="zh-CN"/>
        </w:rPr>
        <w:t>及</w:t>
      </w:r>
      <w:r>
        <w:rPr>
          <w:rFonts w:hint="eastAsia" w:ascii="仿宋_GB2312" w:hAnsi="仿宋" w:eastAsia="仿宋_GB2312"/>
          <w:sz w:val="32"/>
          <w:szCs w:val="32"/>
        </w:rPr>
        <w:t>基本情况。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执法人员于当事人登记的住所或者经营场所现场拍摄照片、现场笔录1份，证明通过当事人登记的住所或者经营场所无法与当事人取得联系。</w:t>
      </w:r>
    </w:p>
    <w:p>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sz w:val="32"/>
          <w:szCs w:val="32"/>
        </w:rPr>
        <w:t>3.执法人员对</w:t>
      </w:r>
      <w:r>
        <w:rPr>
          <w:rFonts w:hint="eastAsia" w:ascii="仿宋_GB2312" w:eastAsia="仿宋_GB2312"/>
          <w:color w:val="000000"/>
          <w:kern w:val="0"/>
          <w:sz w:val="32"/>
          <w:szCs w:val="32"/>
        </w:rPr>
        <w:t>天津市市场主体信用信息公示系统中企业自行公示信息企业年报情况</w:t>
      </w:r>
      <w:r>
        <w:rPr>
          <w:rFonts w:hint="eastAsia" w:ascii="仿宋_GB2312" w:hAnsi="仿宋" w:eastAsia="仿宋_GB2312"/>
          <w:sz w:val="32"/>
          <w:szCs w:val="32"/>
        </w:rPr>
        <w:t>的截图，证明当事人连续</w:t>
      </w:r>
      <w:r>
        <w:rPr>
          <w:rFonts w:hint="eastAsia" w:ascii="仿宋_GB2312" w:eastAsia="仿宋_GB2312"/>
          <w:color w:val="000000"/>
          <w:kern w:val="0"/>
          <w:sz w:val="32"/>
          <w:szCs w:val="32"/>
        </w:rPr>
        <w:t>三年（2016年度—2018年度）未依法报送年报</w:t>
      </w:r>
      <w:r>
        <w:rPr>
          <w:rFonts w:hint="eastAsia" w:ascii="仿宋_GB2312" w:hAnsi="仿宋" w:eastAsia="仿宋_GB2312"/>
          <w:sz w:val="32"/>
          <w:szCs w:val="32"/>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4．《滨海新区市场监管局2020年清理长期停业未经营企业工作方案》中</w:t>
      </w:r>
      <w:r>
        <w:rPr>
          <w:rFonts w:hint="eastAsia" w:ascii="仿宋_GB2312" w:eastAsia="仿宋_GB2312"/>
          <w:sz w:val="32"/>
          <w:szCs w:val="32"/>
        </w:rPr>
        <w:t>提取自天津年报后台管理系统的连续三年（2016年度-2018年度）</w:t>
      </w:r>
      <w:r>
        <w:rPr>
          <w:rFonts w:hint="eastAsia" w:ascii="仿宋_GB2312" w:hAnsi="宋体" w:eastAsia="仿宋_GB2312"/>
          <w:sz w:val="32"/>
          <w:szCs w:val="32"/>
        </w:rPr>
        <w:t>未报送年报企业名单</w:t>
      </w:r>
      <w:r>
        <w:rPr>
          <w:rFonts w:hint="eastAsia" w:ascii="仿宋_GB2312" w:hAnsi="仿宋" w:eastAsia="仿宋_GB2312"/>
          <w:sz w:val="32"/>
          <w:szCs w:val="32"/>
        </w:rPr>
        <w:t>，证明当事人连续三个年度（2016年度-2018年度）未依法报送公示年度报告。</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2020年4月16日，本局向当事人下达了《行政处罚听证告知书》（津滨市监信未营吊[2020]</w:t>
      </w:r>
      <w:r>
        <w:rPr>
          <w:rFonts w:ascii="仿宋_GB2312" w:hAnsi="仿宋" w:eastAsia="仿宋_GB2312"/>
          <w:sz w:val="32"/>
          <w:szCs w:val="32"/>
        </w:rPr>
        <w:t>2</w:t>
      </w:r>
      <w:r>
        <w:rPr>
          <w:rFonts w:hint="eastAsia" w:ascii="仿宋_GB2312" w:hAnsi="仿宋" w:eastAsia="仿宋_GB2312"/>
          <w:sz w:val="32"/>
          <w:szCs w:val="32"/>
        </w:rPr>
        <w:t>号），当事人未提出陈述、申辩意见，也未要求举行听证。</w:t>
      </w:r>
    </w:p>
    <w:p>
      <w:pPr>
        <w:spacing w:line="360" w:lineRule="auto"/>
        <w:ind w:firstLine="640" w:firstLineChars="200"/>
        <w:rPr>
          <w:rFonts w:ascii="仿宋_GB2312" w:eastAsia="仿宋_GB2312"/>
          <w:b/>
          <w:sz w:val="32"/>
          <w:szCs w:val="32"/>
        </w:rPr>
      </w:pPr>
      <w:r>
        <w:rPr>
          <w:rFonts w:hint="eastAsia" w:ascii="仿宋_GB2312" w:eastAsia="仿宋_GB2312"/>
          <w:bCs/>
          <w:sz w:val="32"/>
          <w:szCs w:val="32"/>
        </w:rPr>
        <w:t>当事人上述行为违反了《企业法人登记管理条例》第二十条“企业法人歇业、被撤销、宣告破产或者因其他原因终止营业，应当向登记主管机关办理注销登记”和第二十二条“</w:t>
      </w:r>
      <w:r>
        <w:rPr>
          <w:rFonts w:ascii="仿宋_GB2312" w:eastAsia="仿宋_GB2312"/>
          <w:bCs/>
          <w:sz w:val="32"/>
          <w:szCs w:val="32"/>
        </w:rPr>
        <w:t>企业法人领取《企业法人营业执照》后，满６个月尚未开展经营活动或者停止经营活动满１年的，视同歇业</w:t>
      </w:r>
      <w:r>
        <w:rPr>
          <w:rFonts w:hint="eastAsia" w:ascii="仿宋_GB2312" w:eastAsia="仿宋_GB2312"/>
          <w:bCs/>
          <w:sz w:val="32"/>
          <w:szCs w:val="32"/>
        </w:rPr>
        <w:t>，登记主管机关应当收缴《企业法人营业执照》、《企业法人营业执照》副本，收缴公章，并将注销登记情况告知其开户银行”的规定，构成</w:t>
      </w:r>
      <w:r>
        <w:rPr>
          <w:rFonts w:hint="eastAsia" w:ascii="仿宋_GB2312" w:eastAsia="仿宋_GB2312"/>
          <w:sz w:val="32"/>
          <w:szCs w:val="32"/>
        </w:rPr>
        <w:t>未按规定办理注销登记的违法行为。</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eastAsia="仿宋_GB2312"/>
          <w:bCs/>
          <w:sz w:val="32"/>
          <w:szCs w:val="32"/>
        </w:rPr>
        <w:t>《企业法人登记管理条例》第二十九条第一款第（三）项“企业法人有下列情形之一的，登记主管机关可以根据情况分别给予警告、罚款、没收非法所得、停业整顿、扣缴、吊销《企业法人营业执照》的处罚：（三）不按照规定办理注销登记的；</w:t>
      </w:r>
      <w:r>
        <w:rPr>
          <w:rFonts w:hint="eastAsia" w:ascii="仿宋_GB2312" w:hAnsi="仿宋" w:eastAsia="仿宋_GB2312"/>
          <w:sz w:val="32"/>
          <w:szCs w:val="32"/>
        </w:rPr>
        <w:t>”的规定，决定作出行政处罚如下：</w:t>
      </w:r>
    </w:p>
    <w:p>
      <w:pPr>
        <w:spacing w:line="360" w:lineRule="auto"/>
        <w:ind w:firstLine="601"/>
        <w:rPr>
          <w:rFonts w:hint="eastAsia" w:ascii="仿宋_GB2312" w:hAnsi="仿宋" w:eastAsia="仿宋_GB2312"/>
          <w:sz w:val="32"/>
          <w:szCs w:val="32"/>
        </w:rPr>
      </w:pPr>
      <w:r>
        <w:rPr>
          <w:rFonts w:hint="eastAsia" w:ascii="仿宋_GB2312" w:hAnsi="仿宋" w:eastAsia="仿宋_GB2312"/>
          <w:sz w:val="32"/>
          <w:szCs w:val="32"/>
        </w:rPr>
        <w:t>吊销天津波顿股权投资基金合伙企业（有限合伙）的营业执照。</w:t>
      </w:r>
    </w:p>
    <w:p>
      <w:pPr>
        <w:spacing w:line="360" w:lineRule="auto"/>
        <w:ind w:firstLine="601"/>
        <w:rPr>
          <w:rFonts w:hint="eastAsia" w:ascii="仿宋_GB2312" w:eastAsia="仿宋_GB2312" w:cs="仿宋_GB2312"/>
          <w:sz w:val="32"/>
          <w:szCs w:val="32"/>
        </w:rPr>
      </w:pPr>
      <w:r>
        <w:rPr>
          <w:rFonts w:hint="eastAsia" w:ascii="仿宋_GB2312" w:eastAsia="仿宋_GB2312" w:cs="仿宋_GB2312"/>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pPr>
        <w:spacing w:line="520" w:lineRule="exact"/>
        <w:ind w:firstLine="601"/>
        <w:rPr>
          <w:rFonts w:hint="eastAsia" w:ascii="仿宋_GB2312" w:eastAsia="仿宋_GB2312" w:cs="仿宋_GB2312"/>
          <w:sz w:val="32"/>
          <w:szCs w:val="32"/>
        </w:rPr>
      </w:pPr>
    </w:p>
    <w:p>
      <w:pPr>
        <w:spacing w:line="520" w:lineRule="exact"/>
        <w:ind w:firstLine="601"/>
        <w:rPr>
          <w:rFonts w:eastAsia="仿宋_GB2312"/>
          <w:color w:val="000000"/>
          <w:sz w:val="32"/>
          <w:szCs w:val="32"/>
        </w:rPr>
      </w:pPr>
    </w:p>
    <w:p>
      <w:pPr>
        <w:spacing w:line="520" w:lineRule="exact"/>
        <w:ind w:firstLine="601"/>
        <w:jc w:val="center"/>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天津市滨海新区市场监督管理局</w:t>
      </w:r>
    </w:p>
    <w:p>
      <w:pPr>
        <w:spacing w:line="520" w:lineRule="exact"/>
        <w:ind w:right="640" w:firstLine="600"/>
        <w:jc w:val="center"/>
        <w:rPr>
          <w:rFonts w:hint="eastAsia" w:ascii="仿宋_GB2312" w:eastAsia="仿宋_GB2312" w:cs="仿宋_GB2312"/>
          <w:color w:val="000000"/>
          <w:sz w:val="32"/>
          <w:szCs w:val="32"/>
        </w:rPr>
      </w:pPr>
      <w:r>
        <w:rPr>
          <w:rFonts w:eastAsia="仿宋_GB2312"/>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2020 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24</w:t>
      </w:r>
      <w:r>
        <w:rPr>
          <w:rFonts w:hint="eastAsia" w:ascii="仿宋_GB2312" w:eastAsia="仿宋_GB2312" w:cs="仿宋_GB2312"/>
          <w:color w:val="000000"/>
          <w:sz w:val="32"/>
          <w:szCs w:val="32"/>
        </w:rPr>
        <w:t>日</w:t>
      </w:r>
    </w:p>
    <w:p>
      <w:pPr>
        <w:spacing w:line="500" w:lineRule="exact"/>
        <w:ind w:right="640" w:firstLine="600"/>
        <w:jc w:val="center"/>
        <w:rPr>
          <w:rFonts w:hint="eastAsia" w:ascii="仿宋_GB2312" w:eastAsia="仿宋_GB2312" w:cs="仿宋_GB2312"/>
          <w:color w:val="000000"/>
          <w:sz w:val="32"/>
          <w:szCs w:val="32"/>
        </w:rPr>
      </w:pPr>
    </w:p>
    <w:p>
      <w:pPr>
        <w:spacing w:line="500" w:lineRule="exact"/>
        <w:ind w:right="640" w:firstLine="600"/>
        <w:jc w:val="center"/>
        <w:rPr>
          <w:rFonts w:hint="eastAsia" w:ascii="仿宋_GB2312" w:eastAsia="仿宋_GB2312" w:cs="仿宋_GB2312"/>
          <w:color w:val="000000"/>
          <w:sz w:val="32"/>
          <w:szCs w:val="32"/>
        </w:rPr>
      </w:pPr>
    </w:p>
    <w:p>
      <w:pPr>
        <w:wordWrap w:val="0"/>
        <w:snapToGrid w:val="0"/>
        <w:spacing w:line="520" w:lineRule="exact"/>
        <w:rPr>
          <w:rFonts w:ascii="黑体" w:hAnsi="黑体" w:eastAsia="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olor w:val="000000"/>
          <w:sz w:val="32"/>
          <w:szCs w:val="32"/>
        </w:rPr>
      </w:pPr>
      <w:r>
        <mc:AlternateContent>
          <mc:Choice Requires="wps">
            <w:drawing>
              <wp:anchor distT="0" distB="0" distL="114300" distR="114300" simplePos="0" relativeHeight="251676672" behindDoc="0" locked="0" layoutInCell="1" allowOverlap="1">
                <wp:simplePos x="0" y="0"/>
                <wp:positionH relativeFrom="column">
                  <wp:posOffset>-115570</wp:posOffset>
                </wp:positionH>
                <wp:positionV relativeFrom="paragraph">
                  <wp:posOffset>172085</wp:posOffset>
                </wp:positionV>
                <wp:extent cx="5550535" cy="635"/>
                <wp:effectExtent l="8890" t="12065" r="12700" b="15875"/>
                <wp:wrapNone/>
                <wp:docPr id="2"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margin-left:-9.1pt;margin-top:13.55pt;height:0.05pt;width:437.05pt;z-index:25167667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0E/0LZ&#10;AAAACQEAAA8AAAAAAAAAAQAgAAAAIgAAAGRycy9kb3ducmV2LnhtbFBLAQIUABQAAAAIAIdO4kD4&#10;i9f15gEAAK4DAAAOAAAAAAAAAAEAIAAAACgBAABkcnMvZTJvRG9jLnhtbFBLBQYAAAAABgAGAFkB&#10;AACABQAAAAA=&#10;">
                <v:fill on="f" focussize="0,0"/>
                <v:stroke weight="1.25pt" color="#000000" joinstyle="round"/>
                <v:imagedata o:title=""/>
                <o:lock v:ext="edit" aspectratio="f"/>
              </v:line>
            </w:pict>
          </mc:Fallback>
        </mc:AlternateContent>
      </w:r>
    </w:p>
    <w:p>
      <w:pPr>
        <w:wordWrap w:val="0"/>
        <w:spacing w:line="520" w:lineRule="exact"/>
        <w:rPr>
          <w:rFonts w:eastAsia="仿宋_GB2312" w:cs="仿宋_GB2312"/>
          <w:color w:val="000000"/>
          <w:sz w:val="32"/>
          <w:szCs w:val="32"/>
        </w:rPr>
        <w:sectPr>
          <w:headerReference r:id="rId27" w:type="default"/>
          <w:footerReference r:id="rId28" w:type="default"/>
          <w:footerReference r:id="rId29" w:type="even"/>
          <w:pgSz w:w="11906" w:h="16838"/>
          <w:pgMar w:top="1400" w:right="1531" w:bottom="1134" w:left="1531" w:header="851" w:footer="851" w:gutter="0"/>
          <w:pgNumType w:start="1"/>
          <w:cols w:space="720" w:num="1"/>
          <w:docGrid w:type="lines" w:linePitch="312" w:charSpace="0"/>
        </w:sectPr>
      </w:pPr>
      <w: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20807045</wp:posOffset>
                </wp:positionV>
                <wp:extent cx="5762625" cy="1270"/>
                <wp:effectExtent l="10160" t="8255" r="8890" b="9525"/>
                <wp:wrapNone/>
                <wp:docPr id="1"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接连接符 12" o:spid="_x0000_s1026" o:spt="20" style="position:absolute;left:0pt;margin-left:0pt;margin-top:1638.35pt;height:0.1pt;width:453.75pt;z-index:25167564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HV8tQrwAQAAtw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eastAsia="仿宋_GB2312" w:cs="仿宋_GB2312"/>
          <w:color w:val="000000"/>
          <w:sz w:val="32"/>
          <w:szCs w:val="32"/>
        </w:rPr>
        <w:t>本文书一式</w:t>
      </w:r>
      <w:r>
        <w:rPr>
          <w:rFonts w:hint="eastAsia" w:eastAsia="仿宋_GB2312" w:cs="仿宋_GB2312"/>
          <w:color w:val="000000"/>
          <w:sz w:val="32"/>
          <w:szCs w:val="32"/>
          <w:u w:val="single"/>
        </w:rPr>
        <w:t>两</w:t>
      </w:r>
      <w:r>
        <w:rPr>
          <w:rFonts w:hint="eastAsia" w:eastAsia="仿宋_GB2312" w:cs="仿宋_GB2312"/>
          <w:color w:val="000000"/>
          <w:sz w:val="32"/>
          <w:szCs w:val="32"/>
        </w:rPr>
        <w:t>份，</w:t>
      </w:r>
      <w:r>
        <w:rPr>
          <w:rFonts w:hint="eastAsia" w:eastAsia="仿宋_GB2312" w:cs="仿宋_GB2312"/>
          <w:color w:val="000000"/>
          <w:sz w:val="32"/>
          <w:szCs w:val="32"/>
          <w:u w:val="single"/>
        </w:rPr>
        <w:t>一</w:t>
      </w:r>
      <w:r>
        <w:rPr>
          <w:rFonts w:hint="eastAsia" w:eastAsia="仿宋_GB2312" w:cs="仿宋_GB2312"/>
          <w:color w:val="000000"/>
          <w:sz w:val="32"/>
          <w:szCs w:val="32"/>
        </w:rPr>
        <w:t>份送达，</w:t>
      </w:r>
      <w:r>
        <w:rPr>
          <w:rFonts w:hint="eastAsia" w:eastAsia="仿宋_GB2312" w:cs="仿宋_GB2312"/>
          <w:color w:val="000000"/>
          <w:sz w:val="32"/>
          <w:szCs w:val="32"/>
          <w:u w:val="single"/>
        </w:rPr>
        <w:t>一</w:t>
      </w:r>
      <w:r>
        <w:rPr>
          <w:rFonts w:hint="eastAsia" w:eastAsia="仿宋_GB2312" w:cs="仿宋_GB2312"/>
          <w:color w:val="000000"/>
          <w:sz w:val="32"/>
          <w:szCs w:val="32"/>
        </w:rPr>
        <w:t>份市场监督管理部门留存。</w:t>
      </w:r>
    </w:p>
    <w:p>
      <w:pPr>
        <w:wordWrap w:val="0"/>
        <w:spacing w:line="520" w:lineRule="exact"/>
        <w:rPr>
          <w:rFonts w:eastAsia="仿宋_GB2312"/>
          <w:color w:val="000000"/>
          <w:sz w:val="32"/>
          <w:szCs w:val="32"/>
        </w:rPr>
      </w:pPr>
    </w:p>
    <w:sectPr>
      <w:headerReference r:id="rId30" w:type="default"/>
      <w:footerReference r:id="rId31" w:type="default"/>
      <w:footerReference r:id="rId32" w:type="even"/>
      <w:type w:val="continuous"/>
      <w:pgSz w:w="11906" w:h="16838"/>
      <w:pgMar w:top="1400" w:right="1531" w:bottom="1134" w:left="153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页   共</w:t>
    </w:r>
    <w:r>
      <w:rPr>
        <w:rFonts w:ascii="仿宋_GB2312" w:eastAsia="仿宋_GB2312"/>
        <w:sz w:val="28"/>
        <w:szCs w:val="28"/>
      </w:rPr>
      <w:t xml:space="preserve">  </w:t>
    </w:r>
    <w:r>
      <w:rPr>
        <w:rFonts w:hint="eastAsia" w:ascii="仿宋_GB2312" w:eastAsia="仿宋_GB2312"/>
        <w:sz w:val="28"/>
        <w:szCs w:val="28"/>
      </w:rPr>
      <w:t>页</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4B4B00"/>
    <w:rsid w:val="0000180B"/>
    <w:rsid w:val="00002318"/>
    <w:rsid w:val="00003742"/>
    <w:rsid w:val="0000449F"/>
    <w:rsid w:val="00006F1E"/>
    <w:rsid w:val="00007745"/>
    <w:rsid w:val="0001059D"/>
    <w:rsid w:val="000109B7"/>
    <w:rsid w:val="00010EC2"/>
    <w:rsid w:val="000115AF"/>
    <w:rsid w:val="00012EBD"/>
    <w:rsid w:val="00013A2B"/>
    <w:rsid w:val="00020584"/>
    <w:rsid w:val="00021EEC"/>
    <w:rsid w:val="00023A16"/>
    <w:rsid w:val="00024EC5"/>
    <w:rsid w:val="00025E71"/>
    <w:rsid w:val="00025F87"/>
    <w:rsid w:val="000260EE"/>
    <w:rsid w:val="000314FF"/>
    <w:rsid w:val="000338BC"/>
    <w:rsid w:val="00033C2C"/>
    <w:rsid w:val="00034199"/>
    <w:rsid w:val="0003543A"/>
    <w:rsid w:val="00035CA8"/>
    <w:rsid w:val="00036034"/>
    <w:rsid w:val="0003673F"/>
    <w:rsid w:val="000367DA"/>
    <w:rsid w:val="000379AA"/>
    <w:rsid w:val="00042AC8"/>
    <w:rsid w:val="0004310F"/>
    <w:rsid w:val="0004336A"/>
    <w:rsid w:val="00043B51"/>
    <w:rsid w:val="00043E3A"/>
    <w:rsid w:val="000444F7"/>
    <w:rsid w:val="00044A0D"/>
    <w:rsid w:val="00044F7D"/>
    <w:rsid w:val="00046147"/>
    <w:rsid w:val="00046A7F"/>
    <w:rsid w:val="00051343"/>
    <w:rsid w:val="00051940"/>
    <w:rsid w:val="00052F47"/>
    <w:rsid w:val="00054326"/>
    <w:rsid w:val="00054C7C"/>
    <w:rsid w:val="00054DB1"/>
    <w:rsid w:val="00055671"/>
    <w:rsid w:val="000557BC"/>
    <w:rsid w:val="00055EEE"/>
    <w:rsid w:val="000561A2"/>
    <w:rsid w:val="0005657C"/>
    <w:rsid w:val="000573F6"/>
    <w:rsid w:val="00057A4E"/>
    <w:rsid w:val="0006015D"/>
    <w:rsid w:val="0006084F"/>
    <w:rsid w:val="000628BC"/>
    <w:rsid w:val="00062EA2"/>
    <w:rsid w:val="0006305B"/>
    <w:rsid w:val="0006398C"/>
    <w:rsid w:val="00065C0D"/>
    <w:rsid w:val="000672C5"/>
    <w:rsid w:val="0007010B"/>
    <w:rsid w:val="0007358C"/>
    <w:rsid w:val="000800CF"/>
    <w:rsid w:val="000814E1"/>
    <w:rsid w:val="00082E4D"/>
    <w:rsid w:val="00083177"/>
    <w:rsid w:val="00084445"/>
    <w:rsid w:val="00086059"/>
    <w:rsid w:val="0008616A"/>
    <w:rsid w:val="00086374"/>
    <w:rsid w:val="00087615"/>
    <w:rsid w:val="00090706"/>
    <w:rsid w:val="000909B3"/>
    <w:rsid w:val="0009172A"/>
    <w:rsid w:val="000920B1"/>
    <w:rsid w:val="00093F35"/>
    <w:rsid w:val="00093FB5"/>
    <w:rsid w:val="00094588"/>
    <w:rsid w:val="000A0374"/>
    <w:rsid w:val="000A0535"/>
    <w:rsid w:val="000A0625"/>
    <w:rsid w:val="000A0CE2"/>
    <w:rsid w:val="000A0F98"/>
    <w:rsid w:val="000A2C15"/>
    <w:rsid w:val="000A47E0"/>
    <w:rsid w:val="000A58A8"/>
    <w:rsid w:val="000B251D"/>
    <w:rsid w:val="000B2E1C"/>
    <w:rsid w:val="000B3BBC"/>
    <w:rsid w:val="000B5831"/>
    <w:rsid w:val="000B70AB"/>
    <w:rsid w:val="000B729C"/>
    <w:rsid w:val="000C3476"/>
    <w:rsid w:val="000C36F2"/>
    <w:rsid w:val="000C40A0"/>
    <w:rsid w:val="000C429C"/>
    <w:rsid w:val="000C6A34"/>
    <w:rsid w:val="000C7269"/>
    <w:rsid w:val="000D1D12"/>
    <w:rsid w:val="000D1E63"/>
    <w:rsid w:val="000D3220"/>
    <w:rsid w:val="000D42E8"/>
    <w:rsid w:val="000D43C5"/>
    <w:rsid w:val="000D4980"/>
    <w:rsid w:val="000D6460"/>
    <w:rsid w:val="000D6BA7"/>
    <w:rsid w:val="000D6DDD"/>
    <w:rsid w:val="000E00A6"/>
    <w:rsid w:val="000E09AD"/>
    <w:rsid w:val="000E28FE"/>
    <w:rsid w:val="000E2FE1"/>
    <w:rsid w:val="000E4A71"/>
    <w:rsid w:val="000E735C"/>
    <w:rsid w:val="000E794A"/>
    <w:rsid w:val="000F1F51"/>
    <w:rsid w:val="000F2155"/>
    <w:rsid w:val="000F21B3"/>
    <w:rsid w:val="000F5071"/>
    <w:rsid w:val="000F6195"/>
    <w:rsid w:val="000F6FE6"/>
    <w:rsid w:val="00101CF1"/>
    <w:rsid w:val="00102216"/>
    <w:rsid w:val="00103FFF"/>
    <w:rsid w:val="00105329"/>
    <w:rsid w:val="001072D6"/>
    <w:rsid w:val="00107B72"/>
    <w:rsid w:val="00113B8E"/>
    <w:rsid w:val="0011522B"/>
    <w:rsid w:val="00115E36"/>
    <w:rsid w:val="0011623D"/>
    <w:rsid w:val="0011627E"/>
    <w:rsid w:val="0011732D"/>
    <w:rsid w:val="00117BC6"/>
    <w:rsid w:val="00120116"/>
    <w:rsid w:val="001215EA"/>
    <w:rsid w:val="00121C02"/>
    <w:rsid w:val="00122D8C"/>
    <w:rsid w:val="00123551"/>
    <w:rsid w:val="001274BD"/>
    <w:rsid w:val="0012759E"/>
    <w:rsid w:val="00127DE7"/>
    <w:rsid w:val="00131EA8"/>
    <w:rsid w:val="00133649"/>
    <w:rsid w:val="001339B7"/>
    <w:rsid w:val="00135E03"/>
    <w:rsid w:val="001360FD"/>
    <w:rsid w:val="00136899"/>
    <w:rsid w:val="00140119"/>
    <w:rsid w:val="001412D1"/>
    <w:rsid w:val="00141309"/>
    <w:rsid w:val="001440DE"/>
    <w:rsid w:val="00145496"/>
    <w:rsid w:val="00145561"/>
    <w:rsid w:val="00145FA7"/>
    <w:rsid w:val="001503E5"/>
    <w:rsid w:val="001506C3"/>
    <w:rsid w:val="001547AB"/>
    <w:rsid w:val="00154953"/>
    <w:rsid w:val="001550EA"/>
    <w:rsid w:val="0016202A"/>
    <w:rsid w:val="00164899"/>
    <w:rsid w:val="0016493D"/>
    <w:rsid w:val="00164A02"/>
    <w:rsid w:val="00165B74"/>
    <w:rsid w:val="00166D91"/>
    <w:rsid w:val="001705F0"/>
    <w:rsid w:val="00170920"/>
    <w:rsid w:val="00170ED4"/>
    <w:rsid w:val="00171A36"/>
    <w:rsid w:val="00172133"/>
    <w:rsid w:val="0017332E"/>
    <w:rsid w:val="00174580"/>
    <w:rsid w:val="00174D13"/>
    <w:rsid w:val="00175742"/>
    <w:rsid w:val="00176AA2"/>
    <w:rsid w:val="00177006"/>
    <w:rsid w:val="00177D03"/>
    <w:rsid w:val="001810EF"/>
    <w:rsid w:val="0018402C"/>
    <w:rsid w:val="0018483A"/>
    <w:rsid w:val="00184B06"/>
    <w:rsid w:val="001852EF"/>
    <w:rsid w:val="0018585A"/>
    <w:rsid w:val="00185914"/>
    <w:rsid w:val="001862F2"/>
    <w:rsid w:val="0018680A"/>
    <w:rsid w:val="001869F0"/>
    <w:rsid w:val="00187683"/>
    <w:rsid w:val="00190B50"/>
    <w:rsid w:val="00194739"/>
    <w:rsid w:val="00195576"/>
    <w:rsid w:val="001963A1"/>
    <w:rsid w:val="00196A61"/>
    <w:rsid w:val="001A2473"/>
    <w:rsid w:val="001A2778"/>
    <w:rsid w:val="001A2CB5"/>
    <w:rsid w:val="001A4688"/>
    <w:rsid w:val="001A580B"/>
    <w:rsid w:val="001A758C"/>
    <w:rsid w:val="001A7AA3"/>
    <w:rsid w:val="001B17B7"/>
    <w:rsid w:val="001B1DA6"/>
    <w:rsid w:val="001B30CF"/>
    <w:rsid w:val="001B39D0"/>
    <w:rsid w:val="001B3CDF"/>
    <w:rsid w:val="001B4AD0"/>
    <w:rsid w:val="001B64EC"/>
    <w:rsid w:val="001B6D86"/>
    <w:rsid w:val="001B73EF"/>
    <w:rsid w:val="001C0C70"/>
    <w:rsid w:val="001C185B"/>
    <w:rsid w:val="001C2E5B"/>
    <w:rsid w:val="001C3BDA"/>
    <w:rsid w:val="001C406E"/>
    <w:rsid w:val="001C44EF"/>
    <w:rsid w:val="001C4AC3"/>
    <w:rsid w:val="001C6B26"/>
    <w:rsid w:val="001C77B8"/>
    <w:rsid w:val="001D1370"/>
    <w:rsid w:val="001D140E"/>
    <w:rsid w:val="001D213E"/>
    <w:rsid w:val="001D2922"/>
    <w:rsid w:val="001D2CD1"/>
    <w:rsid w:val="001D5D3E"/>
    <w:rsid w:val="001D5F3E"/>
    <w:rsid w:val="001D6518"/>
    <w:rsid w:val="001E0F11"/>
    <w:rsid w:val="001E1B13"/>
    <w:rsid w:val="001E2F21"/>
    <w:rsid w:val="001E5907"/>
    <w:rsid w:val="001E5B8E"/>
    <w:rsid w:val="001E64A8"/>
    <w:rsid w:val="001E6713"/>
    <w:rsid w:val="001E7BC4"/>
    <w:rsid w:val="001F0140"/>
    <w:rsid w:val="001F10C2"/>
    <w:rsid w:val="001F29F9"/>
    <w:rsid w:val="001F29FF"/>
    <w:rsid w:val="001F3B3C"/>
    <w:rsid w:val="001F603A"/>
    <w:rsid w:val="00202D53"/>
    <w:rsid w:val="0020483D"/>
    <w:rsid w:val="00204996"/>
    <w:rsid w:val="00211E01"/>
    <w:rsid w:val="002122AC"/>
    <w:rsid w:val="002124FB"/>
    <w:rsid w:val="00214158"/>
    <w:rsid w:val="00215BEB"/>
    <w:rsid w:val="00215E81"/>
    <w:rsid w:val="002163FB"/>
    <w:rsid w:val="00216914"/>
    <w:rsid w:val="0021793C"/>
    <w:rsid w:val="00220052"/>
    <w:rsid w:val="00220C9E"/>
    <w:rsid w:val="00220DB9"/>
    <w:rsid w:val="002220D5"/>
    <w:rsid w:val="0022274F"/>
    <w:rsid w:val="002229B7"/>
    <w:rsid w:val="00223B63"/>
    <w:rsid w:val="00224E9C"/>
    <w:rsid w:val="00224EED"/>
    <w:rsid w:val="00225A4A"/>
    <w:rsid w:val="0022695A"/>
    <w:rsid w:val="00227A84"/>
    <w:rsid w:val="002314CF"/>
    <w:rsid w:val="00231535"/>
    <w:rsid w:val="002326CE"/>
    <w:rsid w:val="002345D9"/>
    <w:rsid w:val="00235A70"/>
    <w:rsid w:val="002362DE"/>
    <w:rsid w:val="00241A86"/>
    <w:rsid w:val="00243627"/>
    <w:rsid w:val="00244167"/>
    <w:rsid w:val="002455E4"/>
    <w:rsid w:val="00245C6C"/>
    <w:rsid w:val="002462CD"/>
    <w:rsid w:val="00246817"/>
    <w:rsid w:val="002504AF"/>
    <w:rsid w:val="0025303F"/>
    <w:rsid w:val="002545D2"/>
    <w:rsid w:val="00254BAE"/>
    <w:rsid w:val="00256391"/>
    <w:rsid w:val="00257508"/>
    <w:rsid w:val="00260C71"/>
    <w:rsid w:val="0026337E"/>
    <w:rsid w:val="00264AD9"/>
    <w:rsid w:val="00264CF4"/>
    <w:rsid w:val="00266E03"/>
    <w:rsid w:val="00270398"/>
    <w:rsid w:val="00274482"/>
    <w:rsid w:val="00274DAE"/>
    <w:rsid w:val="00277C56"/>
    <w:rsid w:val="00277C9F"/>
    <w:rsid w:val="0028127B"/>
    <w:rsid w:val="00281B3A"/>
    <w:rsid w:val="002822F5"/>
    <w:rsid w:val="00282CBB"/>
    <w:rsid w:val="0028447A"/>
    <w:rsid w:val="0028571A"/>
    <w:rsid w:val="00285860"/>
    <w:rsid w:val="00286A09"/>
    <w:rsid w:val="00287662"/>
    <w:rsid w:val="00287828"/>
    <w:rsid w:val="00291A33"/>
    <w:rsid w:val="00294B80"/>
    <w:rsid w:val="00295A23"/>
    <w:rsid w:val="00295E8A"/>
    <w:rsid w:val="002A42E7"/>
    <w:rsid w:val="002A51F1"/>
    <w:rsid w:val="002A53FA"/>
    <w:rsid w:val="002A55B0"/>
    <w:rsid w:val="002A67BF"/>
    <w:rsid w:val="002B0DFB"/>
    <w:rsid w:val="002B13C5"/>
    <w:rsid w:val="002B1D27"/>
    <w:rsid w:val="002B1D93"/>
    <w:rsid w:val="002B2ECE"/>
    <w:rsid w:val="002B466B"/>
    <w:rsid w:val="002B6B87"/>
    <w:rsid w:val="002C0739"/>
    <w:rsid w:val="002C16C1"/>
    <w:rsid w:val="002C21A2"/>
    <w:rsid w:val="002C2C68"/>
    <w:rsid w:val="002C34ED"/>
    <w:rsid w:val="002C46C0"/>
    <w:rsid w:val="002C536F"/>
    <w:rsid w:val="002C5CF2"/>
    <w:rsid w:val="002D1593"/>
    <w:rsid w:val="002D2BC5"/>
    <w:rsid w:val="002D5A98"/>
    <w:rsid w:val="002D7054"/>
    <w:rsid w:val="002D790D"/>
    <w:rsid w:val="002E13FC"/>
    <w:rsid w:val="002E15BE"/>
    <w:rsid w:val="002E31B9"/>
    <w:rsid w:val="002E36EC"/>
    <w:rsid w:val="002E3C96"/>
    <w:rsid w:val="002E4DCA"/>
    <w:rsid w:val="002E50D3"/>
    <w:rsid w:val="002E6448"/>
    <w:rsid w:val="002E6584"/>
    <w:rsid w:val="002E6AAF"/>
    <w:rsid w:val="002F0332"/>
    <w:rsid w:val="002F13DC"/>
    <w:rsid w:val="002F1D80"/>
    <w:rsid w:val="002F356A"/>
    <w:rsid w:val="002F3E39"/>
    <w:rsid w:val="002F491A"/>
    <w:rsid w:val="0030126D"/>
    <w:rsid w:val="00302962"/>
    <w:rsid w:val="00307348"/>
    <w:rsid w:val="003078F7"/>
    <w:rsid w:val="0031117E"/>
    <w:rsid w:val="0031258A"/>
    <w:rsid w:val="00313B4A"/>
    <w:rsid w:val="00315309"/>
    <w:rsid w:val="003165A5"/>
    <w:rsid w:val="0031687D"/>
    <w:rsid w:val="0031720B"/>
    <w:rsid w:val="00322C6E"/>
    <w:rsid w:val="0032542A"/>
    <w:rsid w:val="003262E4"/>
    <w:rsid w:val="00330458"/>
    <w:rsid w:val="0033148E"/>
    <w:rsid w:val="00332EC9"/>
    <w:rsid w:val="00333012"/>
    <w:rsid w:val="00333E77"/>
    <w:rsid w:val="00334B5C"/>
    <w:rsid w:val="0033538E"/>
    <w:rsid w:val="00336920"/>
    <w:rsid w:val="0034527B"/>
    <w:rsid w:val="00347EF1"/>
    <w:rsid w:val="003506EF"/>
    <w:rsid w:val="00352795"/>
    <w:rsid w:val="00352C34"/>
    <w:rsid w:val="00354E02"/>
    <w:rsid w:val="0035562C"/>
    <w:rsid w:val="0035573C"/>
    <w:rsid w:val="003615FE"/>
    <w:rsid w:val="00365173"/>
    <w:rsid w:val="00367709"/>
    <w:rsid w:val="00370248"/>
    <w:rsid w:val="00370DF3"/>
    <w:rsid w:val="00370F5A"/>
    <w:rsid w:val="00373426"/>
    <w:rsid w:val="00376E91"/>
    <w:rsid w:val="00380999"/>
    <w:rsid w:val="00382E47"/>
    <w:rsid w:val="003832DE"/>
    <w:rsid w:val="00383BC8"/>
    <w:rsid w:val="0038429F"/>
    <w:rsid w:val="00384A2C"/>
    <w:rsid w:val="00387F2F"/>
    <w:rsid w:val="00392E76"/>
    <w:rsid w:val="00393577"/>
    <w:rsid w:val="00394404"/>
    <w:rsid w:val="00395F61"/>
    <w:rsid w:val="003970AD"/>
    <w:rsid w:val="003973D2"/>
    <w:rsid w:val="00397BCF"/>
    <w:rsid w:val="00397E49"/>
    <w:rsid w:val="003A0572"/>
    <w:rsid w:val="003A2D4B"/>
    <w:rsid w:val="003A305A"/>
    <w:rsid w:val="003A3180"/>
    <w:rsid w:val="003A31B4"/>
    <w:rsid w:val="003A332F"/>
    <w:rsid w:val="003A49A8"/>
    <w:rsid w:val="003B0A0D"/>
    <w:rsid w:val="003B63BE"/>
    <w:rsid w:val="003B677D"/>
    <w:rsid w:val="003B75C9"/>
    <w:rsid w:val="003C0935"/>
    <w:rsid w:val="003C0F71"/>
    <w:rsid w:val="003C58D9"/>
    <w:rsid w:val="003C626A"/>
    <w:rsid w:val="003C6489"/>
    <w:rsid w:val="003C6603"/>
    <w:rsid w:val="003D14B6"/>
    <w:rsid w:val="003D1E81"/>
    <w:rsid w:val="003D3733"/>
    <w:rsid w:val="003D3741"/>
    <w:rsid w:val="003D6120"/>
    <w:rsid w:val="003E08D8"/>
    <w:rsid w:val="003E0B77"/>
    <w:rsid w:val="003E0F94"/>
    <w:rsid w:val="003E1262"/>
    <w:rsid w:val="003E19BD"/>
    <w:rsid w:val="003E1FE4"/>
    <w:rsid w:val="003E2B63"/>
    <w:rsid w:val="003E4CD3"/>
    <w:rsid w:val="003E53A5"/>
    <w:rsid w:val="003E6283"/>
    <w:rsid w:val="003F04A1"/>
    <w:rsid w:val="003F0FF2"/>
    <w:rsid w:val="003F27D1"/>
    <w:rsid w:val="003F4AE9"/>
    <w:rsid w:val="003F5174"/>
    <w:rsid w:val="003F640F"/>
    <w:rsid w:val="003F7BA7"/>
    <w:rsid w:val="00400FDD"/>
    <w:rsid w:val="004015D5"/>
    <w:rsid w:val="00402CAE"/>
    <w:rsid w:val="00402E50"/>
    <w:rsid w:val="00402FF4"/>
    <w:rsid w:val="00403220"/>
    <w:rsid w:val="00407FB3"/>
    <w:rsid w:val="00415581"/>
    <w:rsid w:val="0041664E"/>
    <w:rsid w:val="00416E8D"/>
    <w:rsid w:val="0042100F"/>
    <w:rsid w:val="00421552"/>
    <w:rsid w:val="004216F5"/>
    <w:rsid w:val="00422733"/>
    <w:rsid w:val="0042301D"/>
    <w:rsid w:val="00423320"/>
    <w:rsid w:val="00424022"/>
    <w:rsid w:val="004245C7"/>
    <w:rsid w:val="00424B89"/>
    <w:rsid w:val="00425C16"/>
    <w:rsid w:val="00426A3F"/>
    <w:rsid w:val="00426B1A"/>
    <w:rsid w:val="00427CE0"/>
    <w:rsid w:val="00433A82"/>
    <w:rsid w:val="00440E37"/>
    <w:rsid w:val="00441FBD"/>
    <w:rsid w:val="004431DD"/>
    <w:rsid w:val="00444733"/>
    <w:rsid w:val="00444AE7"/>
    <w:rsid w:val="00446A92"/>
    <w:rsid w:val="004473B0"/>
    <w:rsid w:val="004479B1"/>
    <w:rsid w:val="00447A06"/>
    <w:rsid w:val="004509FC"/>
    <w:rsid w:val="00452596"/>
    <w:rsid w:val="004551CE"/>
    <w:rsid w:val="004601F9"/>
    <w:rsid w:val="00460DE1"/>
    <w:rsid w:val="00460F84"/>
    <w:rsid w:val="0046153F"/>
    <w:rsid w:val="00464FAA"/>
    <w:rsid w:val="00466028"/>
    <w:rsid w:val="004668B3"/>
    <w:rsid w:val="00466AE8"/>
    <w:rsid w:val="00467316"/>
    <w:rsid w:val="004703F9"/>
    <w:rsid w:val="0047153F"/>
    <w:rsid w:val="004741CE"/>
    <w:rsid w:val="00474249"/>
    <w:rsid w:val="00480E3B"/>
    <w:rsid w:val="00482749"/>
    <w:rsid w:val="00485B17"/>
    <w:rsid w:val="00490258"/>
    <w:rsid w:val="00491326"/>
    <w:rsid w:val="00491AD7"/>
    <w:rsid w:val="0049470D"/>
    <w:rsid w:val="00494CDF"/>
    <w:rsid w:val="00497195"/>
    <w:rsid w:val="00497EC4"/>
    <w:rsid w:val="004A0633"/>
    <w:rsid w:val="004A09B1"/>
    <w:rsid w:val="004A0CE0"/>
    <w:rsid w:val="004A1B11"/>
    <w:rsid w:val="004A214B"/>
    <w:rsid w:val="004A37FF"/>
    <w:rsid w:val="004A3C1E"/>
    <w:rsid w:val="004A3FE1"/>
    <w:rsid w:val="004A4383"/>
    <w:rsid w:val="004A4E19"/>
    <w:rsid w:val="004A6FE9"/>
    <w:rsid w:val="004A70BF"/>
    <w:rsid w:val="004B0D49"/>
    <w:rsid w:val="004B1B99"/>
    <w:rsid w:val="004B4B00"/>
    <w:rsid w:val="004B4B3A"/>
    <w:rsid w:val="004B4D92"/>
    <w:rsid w:val="004B6B71"/>
    <w:rsid w:val="004C10AD"/>
    <w:rsid w:val="004C16E3"/>
    <w:rsid w:val="004C32B9"/>
    <w:rsid w:val="004C5BF6"/>
    <w:rsid w:val="004C7E6A"/>
    <w:rsid w:val="004D004C"/>
    <w:rsid w:val="004D19C8"/>
    <w:rsid w:val="004D2B7B"/>
    <w:rsid w:val="004D2BC5"/>
    <w:rsid w:val="004D3B4C"/>
    <w:rsid w:val="004D3D88"/>
    <w:rsid w:val="004D63D4"/>
    <w:rsid w:val="004D6958"/>
    <w:rsid w:val="004D7162"/>
    <w:rsid w:val="004E04FD"/>
    <w:rsid w:val="004E307F"/>
    <w:rsid w:val="004E5969"/>
    <w:rsid w:val="004E5DD4"/>
    <w:rsid w:val="004E7129"/>
    <w:rsid w:val="004E7B77"/>
    <w:rsid w:val="004E7FC8"/>
    <w:rsid w:val="004F1792"/>
    <w:rsid w:val="004F258B"/>
    <w:rsid w:val="004F5944"/>
    <w:rsid w:val="004F598E"/>
    <w:rsid w:val="004F72A1"/>
    <w:rsid w:val="004F7575"/>
    <w:rsid w:val="005003D1"/>
    <w:rsid w:val="00500AC4"/>
    <w:rsid w:val="0050348D"/>
    <w:rsid w:val="0050547B"/>
    <w:rsid w:val="00505BF4"/>
    <w:rsid w:val="00506396"/>
    <w:rsid w:val="005145EB"/>
    <w:rsid w:val="005148D0"/>
    <w:rsid w:val="005174D4"/>
    <w:rsid w:val="00520599"/>
    <w:rsid w:val="00520F12"/>
    <w:rsid w:val="00522AE8"/>
    <w:rsid w:val="00522D0C"/>
    <w:rsid w:val="00523ECA"/>
    <w:rsid w:val="00525335"/>
    <w:rsid w:val="00525FC6"/>
    <w:rsid w:val="0053084B"/>
    <w:rsid w:val="00531260"/>
    <w:rsid w:val="00532B24"/>
    <w:rsid w:val="0053446B"/>
    <w:rsid w:val="00536566"/>
    <w:rsid w:val="00536AF9"/>
    <w:rsid w:val="0053709A"/>
    <w:rsid w:val="0053798C"/>
    <w:rsid w:val="005431A2"/>
    <w:rsid w:val="00543A76"/>
    <w:rsid w:val="00545419"/>
    <w:rsid w:val="00550242"/>
    <w:rsid w:val="00551E58"/>
    <w:rsid w:val="00552A2A"/>
    <w:rsid w:val="00552CC4"/>
    <w:rsid w:val="00553690"/>
    <w:rsid w:val="00560573"/>
    <w:rsid w:val="00560910"/>
    <w:rsid w:val="005614EA"/>
    <w:rsid w:val="005634D8"/>
    <w:rsid w:val="00564B1F"/>
    <w:rsid w:val="00566C5D"/>
    <w:rsid w:val="0057012E"/>
    <w:rsid w:val="0057012F"/>
    <w:rsid w:val="00570452"/>
    <w:rsid w:val="00570D55"/>
    <w:rsid w:val="00572A7A"/>
    <w:rsid w:val="00573C6D"/>
    <w:rsid w:val="00574F4E"/>
    <w:rsid w:val="0057571C"/>
    <w:rsid w:val="00575EE0"/>
    <w:rsid w:val="00576824"/>
    <w:rsid w:val="005802AE"/>
    <w:rsid w:val="0058059B"/>
    <w:rsid w:val="00581FEF"/>
    <w:rsid w:val="0058247A"/>
    <w:rsid w:val="005844CC"/>
    <w:rsid w:val="00584EDB"/>
    <w:rsid w:val="005853F2"/>
    <w:rsid w:val="005869FA"/>
    <w:rsid w:val="00590072"/>
    <w:rsid w:val="00594133"/>
    <w:rsid w:val="00595D54"/>
    <w:rsid w:val="00596D6B"/>
    <w:rsid w:val="005A14CC"/>
    <w:rsid w:val="005A225A"/>
    <w:rsid w:val="005A22BA"/>
    <w:rsid w:val="005A390B"/>
    <w:rsid w:val="005A47A3"/>
    <w:rsid w:val="005A4956"/>
    <w:rsid w:val="005A57EE"/>
    <w:rsid w:val="005A698A"/>
    <w:rsid w:val="005B0B27"/>
    <w:rsid w:val="005B4602"/>
    <w:rsid w:val="005B52F3"/>
    <w:rsid w:val="005B554D"/>
    <w:rsid w:val="005C065B"/>
    <w:rsid w:val="005C222D"/>
    <w:rsid w:val="005C53D6"/>
    <w:rsid w:val="005C5409"/>
    <w:rsid w:val="005C73E0"/>
    <w:rsid w:val="005C7E67"/>
    <w:rsid w:val="005D00AC"/>
    <w:rsid w:val="005D36CC"/>
    <w:rsid w:val="005D385D"/>
    <w:rsid w:val="005D3901"/>
    <w:rsid w:val="005D44C9"/>
    <w:rsid w:val="005D5A89"/>
    <w:rsid w:val="005D7FF6"/>
    <w:rsid w:val="005E25CF"/>
    <w:rsid w:val="005E2B1F"/>
    <w:rsid w:val="005E2DAC"/>
    <w:rsid w:val="005E3A81"/>
    <w:rsid w:val="005E3AB1"/>
    <w:rsid w:val="005E3FE6"/>
    <w:rsid w:val="005E4AED"/>
    <w:rsid w:val="005E4EF0"/>
    <w:rsid w:val="005E5FE6"/>
    <w:rsid w:val="005E6C09"/>
    <w:rsid w:val="005F2227"/>
    <w:rsid w:val="005F2C9C"/>
    <w:rsid w:val="005F3ECF"/>
    <w:rsid w:val="005F58AB"/>
    <w:rsid w:val="005F728C"/>
    <w:rsid w:val="00600879"/>
    <w:rsid w:val="00601A19"/>
    <w:rsid w:val="006022FB"/>
    <w:rsid w:val="00602DC0"/>
    <w:rsid w:val="0060415A"/>
    <w:rsid w:val="00604E0F"/>
    <w:rsid w:val="00605423"/>
    <w:rsid w:val="00607B83"/>
    <w:rsid w:val="00611CA9"/>
    <w:rsid w:val="00611E8F"/>
    <w:rsid w:val="00613177"/>
    <w:rsid w:val="00613A48"/>
    <w:rsid w:val="00614B6B"/>
    <w:rsid w:val="006157C6"/>
    <w:rsid w:val="00615CC6"/>
    <w:rsid w:val="00620803"/>
    <w:rsid w:val="00620EEA"/>
    <w:rsid w:val="006213C1"/>
    <w:rsid w:val="00621880"/>
    <w:rsid w:val="0062229E"/>
    <w:rsid w:val="00622CA6"/>
    <w:rsid w:val="00622D7D"/>
    <w:rsid w:val="0063303B"/>
    <w:rsid w:val="00634404"/>
    <w:rsid w:val="006349CB"/>
    <w:rsid w:val="00634F92"/>
    <w:rsid w:val="006351F6"/>
    <w:rsid w:val="00641576"/>
    <w:rsid w:val="00642B8D"/>
    <w:rsid w:val="00642CCD"/>
    <w:rsid w:val="00644501"/>
    <w:rsid w:val="00645DDB"/>
    <w:rsid w:val="00646DC7"/>
    <w:rsid w:val="006473CB"/>
    <w:rsid w:val="00650512"/>
    <w:rsid w:val="0065084A"/>
    <w:rsid w:val="00651359"/>
    <w:rsid w:val="006522C3"/>
    <w:rsid w:val="006531E3"/>
    <w:rsid w:val="00653BD8"/>
    <w:rsid w:val="00654EDB"/>
    <w:rsid w:val="00655291"/>
    <w:rsid w:val="006555DA"/>
    <w:rsid w:val="00655960"/>
    <w:rsid w:val="0065657A"/>
    <w:rsid w:val="0065669B"/>
    <w:rsid w:val="00661ACC"/>
    <w:rsid w:val="00663915"/>
    <w:rsid w:val="00670AF0"/>
    <w:rsid w:val="0067273A"/>
    <w:rsid w:val="00673310"/>
    <w:rsid w:val="00673B39"/>
    <w:rsid w:val="006743F9"/>
    <w:rsid w:val="006750F4"/>
    <w:rsid w:val="00675161"/>
    <w:rsid w:val="0068038D"/>
    <w:rsid w:val="0068039D"/>
    <w:rsid w:val="00683741"/>
    <w:rsid w:val="00683903"/>
    <w:rsid w:val="00684045"/>
    <w:rsid w:val="00685AA2"/>
    <w:rsid w:val="00686AFF"/>
    <w:rsid w:val="00693FDC"/>
    <w:rsid w:val="00696B9F"/>
    <w:rsid w:val="00697261"/>
    <w:rsid w:val="006A0C4E"/>
    <w:rsid w:val="006A2CFA"/>
    <w:rsid w:val="006A2FE7"/>
    <w:rsid w:val="006A462E"/>
    <w:rsid w:val="006A506C"/>
    <w:rsid w:val="006A51EA"/>
    <w:rsid w:val="006A59D5"/>
    <w:rsid w:val="006B1194"/>
    <w:rsid w:val="006B3010"/>
    <w:rsid w:val="006B3E8D"/>
    <w:rsid w:val="006B6090"/>
    <w:rsid w:val="006B6C50"/>
    <w:rsid w:val="006B6E42"/>
    <w:rsid w:val="006C1E84"/>
    <w:rsid w:val="006C2C1D"/>
    <w:rsid w:val="006C34FC"/>
    <w:rsid w:val="006C481D"/>
    <w:rsid w:val="006C5A23"/>
    <w:rsid w:val="006C5B52"/>
    <w:rsid w:val="006C635A"/>
    <w:rsid w:val="006D14C2"/>
    <w:rsid w:val="006D5420"/>
    <w:rsid w:val="006D69A1"/>
    <w:rsid w:val="006D6BA5"/>
    <w:rsid w:val="006D6CEF"/>
    <w:rsid w:val="006D7A9B"/>
    <w:rsid w:val="006D7F94"/>
    <w:rsid w:val="006E0BA9"/>
    <w:rsid w:val="006E1075"/>
    <w:rsid w:val="006E1994"/>
    <w:rsid w:val="006E573C"/>
    <w:rsid w:val="006E6099"/>
    <w:rsid w:val="006E659C"/>
    <w:rsid w:val="006F05E0"/>
    <w:rsid w:val="006F2B6B"/>
    <w:rsid w:val="006F4CAB"/>
    <w:rsid w:val="006F55D8"/>
    <w:rsid w:val="006F6118"/>
    <w:rsid w:val="006F6B32"/>
    <w:rsid w:val="007028F3"/>
    <w:rsid w:val="007031DB"/>
    <w:rsid w:val="00705A2D"/>
    <w:rsid w:val="00711955"/>
    <w:rsid w:val="0071229B"/>
    <w:rsid w:val="00713636"/>
    <w:rsid w:val="00713F05"/>
    <w:rsid w:val="00715B9E"/>
    <w:rsid w:val="0071632B"/>
    <w:rsid w:val="00716F5B"/>
    <w:rsid w:val="00717A6F"/>
    <w:rsid w:val="00717F1F"/>
    <w:rsid w:val="00720C40"/>
    <w:rsid w:val="00720C81"/>
    <w:rsid w:val="007215FC"/>
    <w:rsid w:val="00721992"/>
    <w:rsid w:val="00721ADD"/>
    <w:rsid w:val="00721C05"/>
    <w:rsid w:val="00722C81"/>
    <w:rsid w:val="0072349E"/>
    <w:rsid w:val="007245DD"/>
    <w:rsid w:val="007246E2"/>
    <w:rsid w:val="00727424"/>
    <w:rsid w:val="0073061D"/>
    <w:rsid w:val="00733767"/>
    <w:rsid w:val="00734017"/>
    <w:rsid w:val="0073585A"/>
    <w:rsid w:val="00735CFB"/>
    <w:rsid w:val="00736DA7"/>
    <w:rsid w:val="007404FF"/>
    <w:rsid w:val="0074065E"/>
    <w:rsid w:val="00740E3E"/>
    <w:rsid w:val="007410D4"/>
    <w:rsid w:val="00743940"/>
    <w:rsid w:val="00744799"/>
    <w:rsid w:val="00747204"/>
    <w:rsid w:val="007475BB"/>
    <w:rsid w:val="00753077"/>
    <w:rsid w:val="007553AF"/>
    <w:rsid w:val="00756931"/>
    <w:rsid w:val="0076099E"/>
    <w:rsid w:val="00762219"/>
    <w:rsid w:val="0077252E"/>
    <w:rsid w:val="00772CE2"/>
    <w:rsid w:val="00773092"/>
    <w:rsid w:val="00775A93"/>
    <w:rsid w:val="00776695"/>
    <w:rsid w:val="00776DB8"/>
    <w:rsid w:val="00776EA7"/>
    <w:rsid w:val="00781FA8"/>
    <w:rsid w:val="007824FF"/>
    <w:rsid w:val="00784FF2"/>
    <w:rsid w:val="0078538C"/>
    <w:rsid w:val="007869D9"/>
    <w:rsid w:val="00790E61"/>
    <w:rsid w:val="007911C9"/>
    <w:rsid w:val="00793830"/>
    <w:rsid w:val="007940DC"/>
    <w:rsid w:val="00794FD4"/>
    <w:rsid w:val="007954AF"/>
    <w:rsid w:val="007968C7"/>
    <w:rsid w:val="007A2F9E"/>
    <w:rsid w:val="007A3853"/>
    <w:rsid w:val="007A4F9C"/>
    <w:rsid w:val="007A7B7F"/>
    <w:rsid w:val="007B059F"/>
    <w:rsid w:val="007B4076"/>
    <w:rsid w:val="007B630B"/>
    <w:rsid w:val="007B6A75"/>
    <w:rsid w:val="007B6BEF"/>
    <w:rsid w:val="007B7881"/>
    <w:rsid w:val="007C259E"/>
    <w:rsid w:val="007C6748"/>
    <w:rsid w:val="007C6AE4"/>
    <w:rsid w:val="007D076D"/>
    <w:rsid w:val="007D08CA"/>
    <w:rsid w:val="007D1208"/>
    <w:rsid w:val="007D3D40"/>
    <w:rsid w:val="007D51D9"/>
    <w:rsid w:val="007D568F"/>
    <w:rsid w:val="007D5742"/>
    <w:rsid w:val="007D6A90"/>
    <w:rsid w:val="007D6B8A"/>
    <w:rsid w:val="007D7610"/>
    <w:rsid w:val="007E022E"/>
    <w:rsid w:val="007E71E0"/>
    <w:rsid w:val="007E7B07"/>
    <w:rsid w:val="007F1DF4"/>
    <w:rsid w:val="007F200B"/>
    <w:rsid w:val="007F244A"/>
    <w:rsid w:val="007F40CA"/>
    <w:rsid w:val="007F5D25"/>
    <w:rsid w:val="007F6240"/>
    <w:rsid w:val="007F69DA"/>
    <w:rsid w:val="008015A8"/>
    <w:rsid w:val="00801B6F"/>
    <w:rsid w:val="00803482"/>
    <w:rsid w:val="008038AA"/>
    <w:rsid w:val="008059A4"/>
    <w:rsid w:val="00806CDB"/>
    <w:rsid w:val="008103CA"/>
    <w:rsid w:val="008171B7"/>
    <w:rsid w:val="008203BF"/>
    <w:rsid w:val="00821686"/>
    <w:rsid w:val="0082453B"/>
    <w:rsid w:val="008264F2"/>
    <w:rsid w:val="00826F6D"/>
    <w:rsid w:val="00827E61"/>
    <w:rsid w:val="00827FEC"/>
    <w:rsid w:val="00832CC2"/>
    <w:rsid w:val="00833CCF"/>
    <w:rsid w:val="00834B42"/>
    <w:rsid w:val="00837134"/>
    <w:rsid w:val="00837398"/>
    <w:rsid w:val="008405E3"/>
    <w:rsid w:val="008406F7"/>
    <w:rsid w:val="00841C38"/>
    <w:rsid w:val="008447D9"/>
    <w:rsid w:val="008448A7"/>
    <w:rsid w:val="00844DED"/>
    <w:rsid w:val="00846084"/>
    <w:rsid w:val="00853BDF"/>
    <w:rsid w:val="00854D74"/>
    <w:rsid w:val="00861055"/>
    <w:rsid w:val="00862223"/>
    <w:rsid w:val="008635F4"/>
    <w:rsid w:val="0086442D"/>
    <w:rsid w:val="00866109"/>
    <w:rsid w:val="008663DA"/>
    <w:rsid w:val="00871004"/>
    <w:rsid w:val="0087134F"/>
    <w:rsid w:val="008718D8"/>
    <w:rsid w:val="0087346F"/>
    <w:rsid w:val="00873EC0"/>
    <w:rsid w:val="008747CA"/>
    <w:rsid w:val="00876B35"/>
    <w:rsid w:val="00877EAB"/>
    <w:rsid w:val="00881881"/>
    <w:rsid w:val="00881A1D"/>
    <w:rsid w:val="00881D86"/>
    <w:rsid w:val="00883663"/>
    <w:rsid w:val="0088530A"/>
    <w:rsid w:val="008861B1"/>
    <w:rsid w:val="00886558"/>
    <w:rsid w:val="008870A3"/>
    <w:rsid w:val="008900DF"/>
    <w:rsid w:val="008906D4"/>
    <w:rsid w:val="00890B4C"/>
    <w:rsid w:val="00892E4B"/>
    <w:rsid w:val="008A0093"/>
    <w:rsid w:val="008A1F1C"/>
    <w:rsid w:val="008A23C8"/>
    <w:rsid w:val="008A2C55"/>
    <w:rsid w:val="008A45A6"/>
    <w:rsid w:val="008A5691"/>
    <w:rsid w:val="008A5ABE"/>
    <w:rsid w:val="008B18A9"/>
    <w:rsid w:val="008B1D54"/>
    <w:rsid w:val="008B2A16"/>
    <w:rsid w:val="008B2C2A"/>
    <w:rsid w:val="008B33A2"/>
    <w:rsid w:val="008B3AD9"/>
    <w:rsid w:val="008B4886"/>
    <w:rsid w:val="008B61CF"/>
    <w:rsid w:val="008B6E1A"/>
    <w:rsid w:val="008C0756"/>
    <w:rsid w:val="008C20AA"/>
    <w:rsid w:val="008C3B94"/>
    <w:rsid w:val="008C4ABC"/>
    <w:rsid w:val="008C5203"/>
    <w:rsid w:val="008C5390"/>
    <w:rsid w:val="008C6B96"/>
    <w:rsid w:val="008D0632"/>
    <w:rsid w:val="008D0A61"/>
    <w:rsid w:val="008D4128"/>
    <w:rsid w:val="008D4DD2"/>
    <w:rsid w:val="008D6988"/>
    <w:rsid w:val="008E00AE"/>
    <w:rsid w:val="008E1222"/>
    <w:rsid w:val="008E1ED2"/>
    <w:rsid w:val="008E3C8D"/>
    <w:rsid w:val="008E4BC0"/>
    <w:rsid w:val="008E7F36"/>
    <w:rsid w:val="008F0AA0"/>
    <w:rsid w:val="008F0B5B"/>
    <w:rsid w:val="008F0F17"/>
    <w:rsid w:val="008F54DD"/>
    <w:rsid w:val="008F57F9"/>
    <w:rsid w:val="008F7EDC"/>
    <w:rsid w:val="00900EBF"/>
    <w:rsid w:val="009015BE"/>
    <w:rsid w:val="00901DE0"/>
    <w:rsid w:val="00903967"/>
    <w:rsid w:val="00906A8D"/>
    <w:rsid w:val="00906FBE"/>
    <w:rsid w:val="00911E1E"/>
    <w:rsid w:val="009133BA"/>
    <w:rsid w:val="009137CC"/>
    <w:rsid w:val="00913A84"/>
    <w:rsid w:val="00913EC2"/>
    <w:rsid w:val="009144FF"/>
    <w:rsid w:val="00914C32"/>
    <w:rsid w:val="0091590E"/>
    <w:rsid w:val="00915DA0"/>
    <w:rsid w:val="00916CBD"/>
    <w:rsid w:val="00917ED1"/>
    <w:rsid w:val="0092092E"/>
    <w:rsid w:val="00922F39"/>
    <w:rsid w:val="0092336C"/>
    <w:rsid w:val="009237A6"/>
    <w:rsid w:val="00924849"/>
    <w:rsid w:val="0093039C"/>
    <w:rsid w:val="00931327"/>
    <w:rsid w:val="00931A35"/>
    <w:rsid w:val="00931A5F"/>
    <w:rsid w:val="00933FA4"/>
    <w:rsid w:val="00935D4C"/>
    <w:rsid w:val="009362B9"/>
    <w:rsid w:val="00937EAB"/>
    <w:rsid w:val="00940D4B"/>
    <w:rsid w:val="00941818"/>
    <w:rsid w:val="00941EC5"/>
    <w:rsid w:val="00942EA3"/>
    <w:rsid w:val="009461B8"/>
    <w:rsid w:val="00950CFB"/>
    <w:rsid w:val="00951B51"/>
    <w:rsid w:val="00952EF3"/>
    <w:rsid w:val="009533F9"/>
    <w:rsid w:val="00953B08"/>
    <w:rsid w:val="0095428D"/>
    <w:rsid w:val="009556D8"/>
    <w:rsid w:val="00955EBA"/>
    <w:rsid w:val="00956463"/>
    <w:rsid w:val="009568FD"/>
    <w:rsid w:val="00960196"/>
    <w:rsid w:val="009610D2"/>
    <w:rsid w:val="009619DE"/>
    <w:rsid w:val="009623CE"/>
    <w:rsid w:val="00962A96"/>
    <w:rsid w:val="00965B76"/>
    <w:rsid w:val="009664E7"/>
    <w:rsid w:val="00970568"/>
    <w:rsid w:val="00970B36"/>
    <w:rsid w:val="00974CC9"/>
    <w:rsid w:val="009755AB"/>
    <w:rsid w:val="0097777A"/>
    <w:rsid w:val="00980D56"/>
    <w:rsid w:val="00982DCB"/>
    <w:rsid w:val="00982E10"/>
    <w:rsid w:val="00983280"/>
    <w:rsid w:val="00984241"/>
    <w:rsid w:val="00984764"/>
    <w:rsid w:val="00986188"/>
    <w:rsid w:val="009909E0"/>
    <w:rsid w:val="00991207"/>
    <w:rsid w:val="00992FEB"/>
    <w:rsid w:val="0099334D"/>
    <w:rsid w:val="0099355E"/>
    <w:rsid w:val="00996494"/>
    <w:rsid w:val="009A5EBD"/>
    <w:rsid w:val="009A7A1D"/>
    <w:rsid w:val="009B10D9"/>
    <w:rsid w:val="009B597B"/>
    <w:rsid w:val="009B5B97"/>
    <w:rsid w:val="009B64E5"/>
    <w:rsid w:val="009B7702"/>
    <w:rsid w:val="009C0910"/>
    <w:rsid w:val="009C1A86"/>
    <w:rsid w:val="009C4A95"/>
    <w:rsid w:val="009C4EAF"/>
    <w:rsid w:val="009C5040"/>
    <w:rsid w:val="009C6387"/>
    <w:rsid w:val="009C6FB8"/>
    <w:rsid w:val="009C7F3A"/>
    <w:rsid w:val="009D1F87"/>
    <w:rsid w:val="009D392A"/>
    <w:rsid w:val="009D4372"/>
    <w:rsid w:val="009D4B41"/>
    <w:rsid w:val="009D6202"/>
    <w:rsid w:val="009E0957"/>
    <w:rsid w:val="009E3935"/>
    <w:rsid w:val="009E3A6A"/>
    <w:rsid w:val="009E3CD3"/>
    <w:rsid w:val="009E4403"/>
    <w:rsid w:val="009E5DF8"/>
    <w:rsid w:val="009E62AB"/>
    <w:rsid w:val="009F0E0F"/>
    <w:rsid w:val="009F30B3"/>
    <w:rsid w:val="009F4A26"/>
    <w:rsid w:val="009F6C17"/>
    <w:rsid w:val="009F6DDE"/>
    <w:rsid w:val="009F7E13"/>
    <w:rsid w:val="00A002D6"/>
    <w:rsid w:val="00A02DCC"/>
    <w:rsid w:val="00A045EC"/>
    <w:rsid w:val="00A059C7"/>
    <w:rsid w:val="00A062D7"/>
    <w:rsid w:val="00A07D28"/>
    <w:rsid w:val="00A114D3"/>
    <w:rsid w:val="00A12EAE"/>
    <w:rsid w:val="00A137D7"/>
    <w:rsid w:val="00A13EE9"/>
    <w:rsid w:val="00A14EF5"/>
    <w:rsid w:val="00A1584C"/>
    <w:rsid w:val="00A16783"/>
    <w:rsid w:val="00A1698B"/>
    <w:rsid w:val="00A20201"/>
    <w:rsid w:val="00A20F19"/>
    <w:rsid w:val="00A21009"/>
    <w:rsid w:val="00A25033"/>
    <w:rsid w:val="00A25485"/>
    <w:rsid w:val="00A268A8"/>
    <w:rsid w:val="00A26C61"/>
    <w:rsid w:val="00A271A1"/>
    <w:rsid w:val="00A273C5"/>
    <w:rsid w:val="00A306D6"/>
    <w:rsid w:val="00A3198C"/>
    <w:rsid w:val="00A356D7"/>
    <w:rsid w:val="00A35E3D"/>
    <w:rsid w:val="00A371DB"/>
    <w:rsid w:val="00A404B2"/>
    <w:rsid w:val="00A40575"/>
    <w:rsid w:val="00A41172"/>
    <w:rsid w:val="00A44686"/>
    <w:rsid w:val="00A45466"/>
    <w:rsid w:val="00A5024C"/>
    <w:rsid w:val="00A54125"/>
    <w:rsid w:val="00A5665B"/>
    <w:rsid w:val="00A5665E"/>
    <w:rsid w:val="00A569F4"/>
    <w:rsid w:val="00A61EFA"/>
    <w:rsid w:val="00A64BB8"/>
    <w:rsid w:val="00A650AB"/>
    <w:rsid w:val="00A6785B"/>
    <w:rsid w:val="00A70004"/>
    <w:rsid w:val="00A7004E"/>
    <w:rsid w:val="00A70C68"/>
    <w:rsid w:val="00A72988"/>
    <w:rsid w:val="00A72A04"/>
    <w:rsid w:val="00A761C5"/>
    <w:rsid w:val="00A80BFA"/>
    <w:rsid w:val="00A814EC"/>
    <w:rsid w:val="00A863F7"/>
    <w:rsid w:val="00A8658B"/>
    <w:rsid w:val="00A86D83"/>
    <w:rsid w:val="00A91D8D"/>
    <w:rsid w:val="00A92216"/>
    <w:rsid w:val="00A925F4"/>
    <w:rsid w:val="00A92778"/>
    <w:rsid w:val="00A936C9"/>
    <w:rsid w:val="00A94E99"/>
    <w:rsid w:val="00A953DE"/>
    <w:rsid w:val="00A95BA4"/>
    <w:rsid w:val="00A95F49"/>
    <w:rsid w:val="00AA3874"/>
    <w:rsid w:val="00AA7DAD"/>
    <w:rsid w:val="00AB3237"/>
    <w:rsid w:val="00AB357F"/>
    <w:rsid w:val="00AB3889"/>
    <w:rsid w:val="00AB39F6"/>
    <w:rsid w:val="00AB4E59"/>
    <w:rsid w:val="00AB5204"/>
    <w:rsid w:val="00AB5363"/>
    <w:rsid w:val="00AC07CB"/>
    <w:rsid w:val="00AC1AB4"/>
    <w:rsid w:val="00AC2095"/>
    <w:rsid w:val="00AC21DA"/>
    <w:rsid w:val="00AC314C"/>
    <w:rsid w:val="00AC3CCA"/>
    <w:rsid w:val="00AC4C92"/>
    <w:rsid w:val="00AC4EE0"/>
    <w:rsid w:val="00AC5121"/>
    <w:rsid w:val="00AC540B"/>
    <w:rsid w:val="00AC57A5"/>
    <w:rsid w:val="00AC5BAF"/>
    <w:rsid w:val="00AC727E"/>
    <w:rsid w:val="00AC77A1"/>
    <w:rsid w:val="00AD2FCE"/>
    <w:rsid w:val="00AD4223"/>
    <w:rsid w:val="00AD5145"/>
    <w:rsid w:val="00AD54B6"/>
    <w:rsid w:val="00AD7C66"/>
    <w:rsid w:val="00AE02AE"/>
    <w:rsid w:val="00AE0AC8"/>
    <w:rsid w:val="00AE0ECD"/>
    <w:rsid w:val="00AE0FAB"/>
    <w:rsid w:val="00AE1639"/>
    <w:rsid w:val="00AE1868"/>
    <w:rsid w:val="00AE3233"/>
    <w:rsid w:val="00AE337A"/>
    <w:rsid w:val="00AE39BE"/>
    <w:rsid w:val="00AE59D4"/>
    <w:rsid w:val="00AF1635"/>
    <w:rsid w:val="00AF2DB2"/>
    <w:rsid w:val="00AF5F14"/>
    <w:rsid w:val="00AF764F"/>
    <w:rsid w:val="00B00BAD"/>
    <w:rsid w:val="00B014AB"/>
    <w:rsid w:val="00B01D39"/>
    <w:rsid w:val="00B01DBA"/>
    <w:rsid w:val="00B04A28"/>
    <w:rsid w:val="00B04AE1"/>
    <w:rsid w:val="00B0572F"/>
    <w:rsid w:val="00B060E2"/>
    <w:rsid w:val="00B06D1A"/>
    <w:rsid w:val="00B071CD"/>
    <w:rsid w:val="00B11C78"/>
    <w:rsid w:val="00B13EBB"/>
    <w:rsid w:val="00B17081"/>
    <w:rsid w:val="00B17D2B"/>
    <w:rsid w:val="00B20607"/>
    <w:rsid w:val="00B20D3C"/>
    <w:rsid w:val="00B21600"/>
    <w:rsid w:val="00B22EF2"/>
    <w:rsid w:val="00B246D9"/>
    <w:rsid w:val="00B24866"/>
    <w:rsid w:val="00B2488B"/>
    <w:rsid w:val="00B2554D"/>
    <w:rsid w:val="00B30958"/>
    <w:rsid w:val="00B31A0D"/>
    <w:rsid w:val="00B33E1F"/>
    <w:rsid w:val="00B34203"/>
    <w:rsid w:val="00B37B50"/>
    <w:rsid w:val="00B40243"/>
    <w:rsid w:val="00B409F7"/>
    <w:rsid w:val="00B41691"/>
    <w:rsid w:val="00B41BB6"/>
    <w:rsid w:val="00B43033"/>
    <w:rsid w:val="00B44B11"/>
    <w:rsid w:val="00B45112"/>
    <w:rsid w:val="00B46B98"/>
    <w:rsid w:val="00B47B15"/>
    <w:rsid w:val="00B52535"/>
    <w:rsid w:val="00B528BC"/>
    <w:rsid w:val="00B5391D"/>
    <w:rsid w:val="00B5402C"/>
    <w:rsid w:val="00B5485F"/>
    <w:rsid w:val="00B54936"/>
    <w:rsid w:val="00B551AA"/>
    <w:rsid w:val="00B551D2"/>
    <w:rsid w:val="00B56C2C"/>
    <w:rsid w:val="00B62A91"/>
    <w:rsid w:val="00B6428B"/>
    <w:rsid w:val="00B6498A"/>
    <w:rsid w:val="00B658BC"/>
    <w:rsid w:val="00B66791"/>
    <w:rsid w:val="00B67726"/>
    <w:rsid w:val="00B7087F"/>
    <w:rsid w:val="00B7325C"/>
    <w:rsid w:val="00B74906"/>
    <w:rsid w:val="00B757DA"/>
    <w:rsid w:val="00B758BD"/>
    <w:rsid w:val="00B75B8C"/>
    <w:rsid w:val="00B77BE0"/>
    <w:rsid w:val="00B806DA"/>
    <w:rsid w:val="00B806EF"/>
    <w:rsid w:val="00B81B16"/>
    <w:rsid w:val="00B82D07"/>
    <w:rsid w:val="00B8397D"/>
    <w:rsid w:val="00B869F0"/>
    <w:rsid w:val="00B87E7E"/>
    <w:rsid w:val="00B90A1F"/>
    <w:rsid w:val="00B91581"/>
    <w:rsid w:val="00B91DD5"/>
    <w:rsid w:val="00B92053"/>
    <w:rsid w:val="00B9495D"/>
    <w:rsid w:val="00B96660"/>
    <w:rsid w:val="00B9745E"/>
    <w:rsid w:val="00BA1183"/>
    <w:rsid w:val="00BA1824"/>
    <w:rsid w:val="00BA2460"/>
    <w:rsid w:val="00BA7784"/>
    <w:rsid w:val="00BB0713"/>
    <w:rsid w:val="00BB1C40"/>
    <w:rsid w:val="00BB4479"/>
    <w:rsid w:val="00BB763A"/>
    <w:rsid w:val="00BC07A7"/>
    <w:rsid w:val="00BC469D"/>
    <w:rsid w:val="00BC4C88"/>
    <w:rsid w:val="00BC4D83"/>
    <w:rsid w:val="00BC6DC4"/>
    <w:rsid w:val="00BC781C"/>
    <w:rsid w:val="00BD0227"/>
    <w:rsid w:val="00BD2090"/>
    <w:rsid w:val="00BD3849"/>
    <w:rsid w:val="00BD3C27"/>
    <w:rsid w:val="00BD3DAC"/>
    <w:rsid w:val="00BD4025"/>
    <w:rsid w:val="00BD48F1"/>
    <w:rsid w:val="00BD65B1"/>
    <w:rsid w:val="00BD6CD9"/>
    <w:rsid w:val="00BD6E37"/>
    <w:rsid w:val="00BD6F06"/>
    <w:rsid w:val="00BD7E71"/>
    <w:rsid w:val="00BE1C16"/>
    <w:rsid w:val="00BE25EF"/>
    <w:rsid w:val="00BE4BFF"/>
    <w:rsid w:val="00BE5F0A"/>
    <w:rsid w:val="00BE6448"/>
    <w:rsid w:val="00BE6A8D"/>
    <w:rsid w:val="00BF01F7"/>
    <w:rsid w:val="00BF100E"/>
    <w:rsid w:val="00BF3E25"/>
    <w:rsid w:val="00BF4159"/>
    <w:rsid w:val="00BF4258"/>
    <w:rsid w:val="00BF5028"/>
    <w:rsid w:val="00BF5309"/>
    <w:rsid w:val="00BF6527"/>
    <w:rsid w:val="00BF7D7A"/>
    <w:rsid w:val="00C02E0C"/>
    <w:rsid w:val="00C0515E"/>
    <w:rsid w:val="00C05338"/>
    <w:rsid w:val="00C05C68"/>
    <w:rsid w:val="00C067A8"/>
    <w:rsid w:val="00C06CC6"/>
    <w:rsid w:val="00C12923"/>
    <w:rsid w:val="00C12E0C"/>
    <w:rsid w:val="00C13120"/>
    <w:rsid w:val="00C13C24"/>
    <w:rsid w:val="00C16372"/>
    <w:rsid w:val="00C174C2"/>
    <w:rsid w:val="00C176CF"/>
    <w:rsid w:val="00C206A2"/>
    <w:rsid w:val="00C213A7"/>
    <w:rsid w:val="00C2170D"/>
    <w:rsid w:val="00C225A4"/>
    <w:rsid w:val="00C226F2"/>
    <w:rsid w:val="00C23BED"/>
    <w:rsid w:val="00C2751E"/>
    <w:rsid w:val="00C31B95"/>
    <w:rsid w:val="00C32C8D"/>
    <w:rsid w:val="00C35290"/>
    <w:rsid w:val="00C35939"/>
    <w:rsid w:val="00C35B60"/>
    <w:rsid w:val="00C41311"/>
    <w:rsid w:val="00C42D44"/>
    <w:rsid w:val="00C430EB"/>
    <w:rsid w:val="00C45FD5"/>
    <w:rsid w:val="00C46A80"/>
    <w:rsid w:val="00C51550"/>
    <w:rsid w:val="00C518BE"/>
    <w:rsid w:val="00C56320"/>
    <w:rsid w:val="00C574D9"/>
    <w:rsid w:val="00C613B4"/>
    <w:rsid w:val="00C63942"/>
    <w:rsid w:val="00C63E47"/>
    <w:rsid w:val="00C658D4"/>
    <w:rsid w:val="00C66A19"/>
    <w:rsid w:val="00C67AC4"/>
    <w:rsid w:val="00C7040B"/>
    <w:rsid w:val="00C714A2"/>
    <w:rsid w:val="00C71A58"/>
    <w:rsid w:val="00C7288C"/>
    <w:rsid w:val="00C77042"/>
    <w:rsid w:val="00C776BF"/>
    <w:rsid w:val="00C77E64"/>
    <w:rsid w:val="00C80177"/>
    <w:rsid w:val="00C8183A"/>
    <w:rsid w:val="00C82129"/>
    <w:rsid w:val="00C83CAB"/>
    <w:rsid w:val="00C844E7"/>
    <w:rsid w:val="00C8551A"/>
    <w:rsid w:val="00C8743A"/>
    <w:rsid w:val="00C90C8C"/>
    <w:rsid w:val="00C92469"/>
    <w:rsid w:val="00C92C03"/>
    <w:rsid w:val="00C95C8C"/>
    <w:rsid w:val="00C972FC"/>
    <w:rsid w:val="00C97346"/>
    <w:rsid w:val="00C976A3"/>
    <w:rsid w:val="00CA051A"/>
    <w:rsid w:val="00CA0EC6"/>
    <w:rsid w:val="00CA7D60"/>
    <w:rsid w:val="00CB150F"/>
    <w:rsid w:val="00CB2250"/>
    <w:rsid w:val="00CB2F98"/>
    <w:rsid w:val="00CB4AAC"/>
    <w:rsid w:val="00CB65CE"/>
    <w:rsid w:val="00CB7806"/>
    <w:rsid w:val="00CB7FD3"/>
    <w:rsid w:val="00CC03A0"/>
    <w:rsid w:val="00CC07C9"/>
    <w:rsid w:val="00CC08D4"/>
    <w:rsid w:val="00CC22D7"/>
    <w:rsid w:val="00CC5C72"/>
    <w:rsid w:val="00CC6329"/>
    <w:rsid w:val="00CC704A"/>
    <w:rsid w:val="00CD1634"/>
    <w:rsid w:val="00CD174D"/>
    <w:rsid w:val="00CD2A44"/>
    <w:rsid w:val="00CE136D"/>
    <w:rsid w:val="00CE1705"/>
    <w:rsid w:val="00CE1B19"/>
    <w:rsid w:val="00CE2412"/>
    <w:rsid w:val="00CE281B"/>
    <w:rsid w:val="00CE2BF5"/>
    <w:rsid w:val="00CE32BD"/>
    <w:rsid w:val="00CE4163"/>
    <w:rsid w:val="00CE5004"/>
    <w:rsid w:val="00CE7277"/>
    <w:rsid w:val="00CE7777"/>
    <w:rsid w:val="00CF2E8F"/>
    <w:rsid w:val="00CF3783"/>
    <w:rsid w:val="00CF55BA"/>
    <w:rsid w:val="00CF624F"/>
    <w:rsid w:val="00CF6882"/>
    <w:rsid w:val="00CF73AF"/>
    <w:rsid w:val="00D00740"/>
    <w:rsid w:val="00D02A49"/>
    <w:rsid w:val="00D03313"/>
    <w:rsid w:val="00D04FA6"/>
    <w:rsid w:val="00D05FA8"/>
    <w:rsid w:val="00D10D57"/>
    <w:rsid w:val="00D17C3B"/>
    <w:rsid w:val="00D20521"/>
    <w:rsid w:val="00D20AF0"/>
    <w:rsid w:val="00D21FFF"/>
    <w:rsid w:val="00D22ACC"/>
    <w:rsid w:val="00D22D3A"/>
    <w:rsid w:val="00D231A6"/>
    <w:rsid w:val="00D232C5"/>
    <w:rsid w:val="00D24D55"/>
    <w:rsid w:val="00D254B5"/>
    <w:rsid w:val="00D255E1"/>
    <w:rsid w:val="00D26A62"/>
    <w:rsid w:val="00D301CE"/>
    <w:rsid w:val="00D316C8"/>
    <w:rsid w:val="00D320F1"/>
    <w:rsid w:val="00D328DA"/>
    <w:rsid w:val="00D33392"/>
    <w:rsid w:val="00D34A14"/>
    <w:rsid w:val="00D34BCE"/>
    <w:rsid w:val="00D34F2F"/>
    <w:rsid w:val="00D36DCC"/>
    <w:rsid w:val="00D37481"/>
    <w:rsid w:val="00D37F43"/>
    <w:rsid w:val="00D40A5A"/>
    <w:rsid w:val="00D40FB0"/>
    <w:rsid w:val="00D41E07"/>
    <w:rsid w:val="00D422E7"/>
    <w:rsid w:val="00D42C16"/>
    <w:rsid w:val="00D435CB"/>
    <w:rsid w:val="00D43DC0"/>
    <w:rsid w:val="00D441A0"/>
    <w:rsid w:val="00D4483E"/>
    <w:rsid w:val="00D4542A"/>
    <w:rsid w:val="00D5106E"/>
    <w:rsid w:val="00D52638"/>
    <w:rsid w:val="00D528AD"/>
    <w:rsid w:val="00D53907"/>
    <w:rsid w:val="00D54AEB"/>
    <w:rsid w:val="00D56948"/>
    <w:rsid w:val="00D60FF1"/>
    <w:rsid w:val="00D67191"/>
    <w:rsid w:val="00D678F0"/>
    <w:rsid w:val="00D71FD0"/>
    <w:rsid w:val="00D73357"/>
    <w:rsid w:val="00D7570D"/>
    <w:rsid w:val="00D779A8"/>
    <w:rsid w:val="00D77E70"/>
    <w:rsid w:val="00D80EC5"/>
    <w:rsid w:val="00D8226F"/>
    <w:rsid w:val="00D8248F"/>
    <w:rsid w:val="00D87C38"/>
    <w:rsid w:val="00D90086"/>
    <w:rsid w:val="00D90528"/>
    <w:rsid w:val="00D90968"/>
    <w:rsid w:val="00D92462"/>
    <w:rsid w:val="00D928B2"/>
    <w:rsid w:val="00D92929"/>
    <w:rsid w:val="00D92DA3"/>
    <w:rsid w:val="00D93DE2"/>
    <w:rsid w:val="00D95D4C"/>
    <w:rsid w:val="00D965E6"/>
    <w:rsid w:val="00D9660F"/>
    <w:rsid w:val="00DA195D"/>
    <w:rsid w:val="00DA4045"/>
    <w:rsid w:val="00DA4596"/>
    <w:rsid w:val="00DB03F9"/>
    <w:rsid w:val="00DB1A68"/>
    <w:rsid w:val="00DB3754"/>
    <w:rsid w:val="00DB37A2"/>
    <w:rsid w:val="00DB3ACA"/>
    <w:rsid w:val="00DB3CC3"/>
    <w:rsid w:val="00DB3F80"/>
    <w:rsid w:val="00DB6E18"/>
    <w:rsid w:val="00DB7CC1"/>
    <w:rsid w:val="00DB7F82"/>
    <w:rsid w:val="00DC0A90"/>
    <w:rsid w:val="00DC0F2C"/>
    <w:rsid w:val="00DC108A"/>
    <w:rsid w:val="00DC2161"/>
    <w:rsid w:val="00DC2D85"/>
    <w:rsid w:val="00DC3174"/>
    <w:rsid w:val="00DC34B5"/>
    <w:rsid w:val="00DC362B"/>
    <w:rsid w:val="00DC3675"/>
    <w:rsid w:val="00DC430F"/>
    <w:rsid w:val="00DC4558"/>
    <w:rsid w:val="00DC5651"/>
    <w:rsid w:val="00DC65F1"/>
    <w:rsid w:val="00DC6EC5"/>
    <w:rsid w:val="00DC7457"/>
    <w:rsid w:val="00DD10B4"/>
    <w:rsid w:val="00DD1553"/>
    <w:rsid w:val="00DD19F4"/>
    <w:rsid w:val="00DD2310"/>
    <w:rsid w:val="00DD36A0"/>
    <w:rsid w:val="00DD3C33"/>
    <w:rsid w:val="00DD3D4E"/>
    <w:rsid w:val="00DE01F5"/>
    <w:rsid w:val="00DE1BC3"/>
    <w:rsid w:val="00DE7BEE"/>
    <w:rsid w:val="00DF0B72"/>
    <w:rsid w:val="00DF1955"/>
    <w:rsid w:val="00DF19E9"/>
    <w:rsid w:val="00DF2A77"/>
    <w:rsid w:val="00DF6860"/>
    <w:rsid w:val="00DF78B7"/>
    <w:rsid w:val="00E00529"/>
    <w:rsid w:val="00E02BCF"/>
    <w:rsid w:val="00E02C66"/>
    <w:rsid w:val="00E03BBB"/>
    <w:rsid w:val="00E03FA4"/>
    <w:rsid w:val="00E04333"/>
    <w:rsid w:val="00E04740"/>
    <w:rsid w:val="00E0551D"/>
    <w:rsid w:val="00E0792E"/>
    <w:rsid w:val="00E10383"/>
    <w:rsid w:val="00E104A6"/>
    <w:rsid w:val="00E12724"/>
    <w:rsid w:val="00E1286A"/>
    <w:rsid w:val="00E13AE5"/>
    <w:rsid w:val="00E14AF8"/>
    <w:rsid w:val="00E15973"/>
    <w:rsid w:val="00E22B25"/>
    <w:rsid w:val="00E25759"/>
    <w:rsid w:val="00E27D3E"/>
    <w:rsid w:val="00E301AC"/>
    <w:rsid w:val="00E31691"/>
    <w:rsid w:val="00E32172"/>
    <w:rsid w:val="00E33E68"/>
    <w:rsid w:val="00E36A00"/>
    <w:rsid w:val="00E40D7C"/>
    <w:rsid w:val="00E42356"/>
    <w:rsid w:val="00E424B8"/>
    <w:rsid w:val="00E428CD"/>
    <w:rsid w:val="00E42994"/>
    <w:rsid w:val="00E45392"/>
    <w:rsid w:val="00E46823"/>
    <w:rsid w:val="00E4743F"/>
    <w:rsid w:val="00E47FB6"/>
    <w:rsid w:val="00E5071E"/>
    <w:rsid w:val="00E5218E"/>
    <w:rsid w:val="00E55615"/>
    <w:rsid w:val="00E55976"/>
    <w:rsid w:val="00E60123"/>
    <w:rsid w:val="00E61347"/>
    <w:rsid w:val="00E61F94"/>
    <w:rsid w:val="00E63FFA"/>
    <w:rsid w:val="00E66FC3"/>
    <w:rsid w:val="00E709F8"/>
    <w:rsid w:val="00E73E44"/>
    <w:rsid w:val="00E73FDA"/>
    <w:rsid w:val="00E764E7"/>
    <w:rsid w:val="00E76CFF"/>
    <w:rsid w:val="00E81A96"/>
    <w:rsid w:val="00E81BF5"/>
    <w:rsid w:val="00E826D1"/>
    <w:rsid w:val="00E82BFF"/>
    <w:rsid w:val="00E836E9"/>
    <w:rsid w:val="00E84E9B"/>
    <w:rsid w:val="00E85726"/>
    <w:rsid w:val="00E86BF0"/>
    <w:rsid w:val="00E877ED"/>
    <w:rsid w:val="00E87F54"/>
    <w:rsid w:val="00E916B9"/>
    <w:rsid w:val="00E92123"/>
    <w:rsid w:val="00E92BC6"/>
    <w:rsid w:val="00E9756C"/>
    <w:rsid w:val="00E97E03"/>
    <w:rsid w:val="00EA07CD"/>
    <w:rsid w:val="00EA1496"/>
    <w:rsid w:val="00EA2C98"/>
    <w:rsid w:val="00EA5BA2"/>
    <w:rsid w:val="00EA5E46"/>
    <w:rsid w:val="00EB1676"/>
    <w:rsid w:val="00EB42D5"/>
    <w:rsid w:val="00EB4DBC"/>
    <w:rsid w:val="00EB69F7"/>
    <w:rsid w:val="00EB718F"/>
    <w:rsid w:val="00EC064D"/>
    <w:rsid w:val="00EC08EA"/>
    <w:rsid w:val="00EC0EF4"/>
    <w:rsid w:val="00EC1D36"/>
    <w:rsid w:val="00EC3438"/>
    <w:rsid w:val="00EC3858"/>
    <w:rsid w:val="00EC40FA"/>
    <w:rsid w:val="00EC4452"/>
    <w:rsid w:val="00EC60E4"/>
    <w:rsid w:val="00EC7F40"/>
    <w:rsid w:val="00ED3BB6"/>
    <w:rsid w:val="00ED5000"/>
    <w:rsid w:val="00ED70C0"/>
    <w:rsid w:val="00EE098A"/>
    <w:rsid w:val="00EE1872"/>
    <w:rsid w:val="00EE23EE"/>
    <w:rsid w:val="00EE2410"/>
    <w:rsid w:val="00EE3D5E"/>
    <w:rsid w:val="00EE658F"/>
    <w:rsid w:val="00EE6904"/>
    <w:rsid w:val="00EF357A"/>
    <w:rsid w:val="00EF4748"/>
    <w:rsid w:val="00EF6ADF"/>
    <w:rsid w:val="00F0011F"/>
    <w:rsid w:val="00F001A5"/>
    <w:rsid w:val="00F0206E"/>
    <w:rsid w:val="00F02B46"/>
    <w:rsid w:val="00F02B69"/>
    <w:rsid w:val="00F03862"/>
    <w:rsid w:val="00F05A0E"/>
    <w:rsid w:val="00F05F35"/>
    <w:rsid w:val="00F0642B"/>
    <w:rsid w:val="00F068D4"/>
    <w:rsid w:val="00F12DC9"/>
    <w:rsid w:val="00F13825"/>
    <w:rsid w:val="00F15397"/>
    <w:rsid w:val="00F156B5"/>
    <w:rsid w:val="00F15CE1"/>
    <w:rsid w:val="00F16D30"/>
    <w:rsid w:val="00F20137"/>
    <w:rsid w:val="00F20882"/>
    <w:rsid w:val="00F20ACF"/>
    <w:rsid w:val="00F233FC"/>
    <w:rsid w:val="00F24048"/>
    <w:rsid w:val="00F25DED"/>
    <w:rsid w:val="00F2631A"/>
    <w:rsid w:val="00F2635F"/>
    <w:rsid w:val="00F27A87"/>
    <w:rsid w:val="00F27CA9"/>
    <w:rsid w:val="00F27FCA"/>
    <w:rsid w:val="00F309BF"/>
    <w:rsid w:val="00F316D9"/>
    <w:rsid w:val="00F319B2"/>
    <w:rsid w:val="00F33064"/>
    <w:rsid w:val="00F34A66"/>
    <w:rsid w:val="00F34B4B"/>
    <w:rsid w:val="00F364E4"/>
    <w:rsid w:val="00F36FFB"/>
    <w:rsid w:val="00F37ABB"/>
    <w:rsid w:val="00F4027E"/>
    <w:rsid w:val="00F40874"/>
    <w:rsid w:val="00F41B11"/>
    <w:rsid w:val="00F4580C"/>
    <w:rsid w:val="00F45EE5"/>
    <w:rsid w:val="00F46128"/>
    <w:rsid w:val="00F467AE"/>
    <w:rsid w:val="00F4686B"/>
    <w:rsid w:val="00F47883"/>
    <w:rsid w:val="00F519A6"/>
    <w:rsid w:val="00F51B16"/>
    <w:rsid w:val="00F5415C"/>
    <w:rsid w:val="00F55EE8"/>
    <w:rsid w:val="00F600A3"/>
    <w:rsid w:val="00F604A7"/>
    <w:rsid w:val="00F618B7"/>
    <w:rsid w:val="00F62AB4"/>
    <w:rsid w:val="00F63795"/>
    <w:rsid w:val="00F644FA"/>
    <w:rsid w:val="00F655E8"/>
    <w:rsid w:val="00F7050C"/>
    <w:rsid w:val="00F70CFC"/>
    <w:rsid w:val="00F713C4"/>
    <w:rsid w:val="00F7204E"/>
    <w:rsid w:val="00F80092"/>
    <w:rsid w:val="00F804A9"/>
    <w:rsid w:val="00F8083C"/>
    <w:rsid w:val="00F820BB"/>
    <w:rsid w:val="00F859CC"/>
    <w:rsid w:val="00F85E08"/>
    <w:rsid w:val="00F86BE0"/>
    <w:rsid w:val="00F912F9"/>
    <w:rsid w:val="00F91E79"/>
    <w:rsid w:val="00F92A59"/>
    <w:rsid w:val="00F949DE"/>
    <w:rsid w:val="00F95BBB"/>
    <w:rsid w:val="00F9728E"/>
    <w:rsid w:val="00FA0F23"/>
    <w:rsid w:val="00FA298F"/>
    <w:rsid w:val="00FA3335"/>
    <w:rsid w:val="00FA7A9A"/>
    <w:rsid w:val="00FA7B41"/>
    <w:rsid w:val="00FB1293"/>
    <w:rsid w:val="00FB36CD"/>
    <w:rsid w:val="00FB48BA"/>
    <w:rsid w:val="00FB4B86"/>
    <w:rsid w:val="00FB5418"/>
    <w:rsid w:val="00FB6672"/>
    <w:rsid w:val="00FC1914"/>
    <w:rsid w:val="00FC4CAF"/>
    <w:rsid w:val="00FC4E8D"/>
    <w:rsid w:val="00FD0EA3"/>
    <w:rsid w:val="00FD1303"/>
    <w:rsid w:val="00FD492A"/>
    <w:rsid w:val="00FD79B3"/>
    <w:rsid w:val="00FD7A8A"/>
    <w:rsid w:val="00FE0346"/>
    <w:rsid w:val="00FE078D"/>
    <w:rsid w:val="00FE1CCE"/>
    <w:rsid w:val="00FE1EF6"/>
    <w:rsid w:val="00FE5B8A"/>
    <w:rsid w:val="00FE6AF0"/>
    <w:rsid w:val="00FE7D1D"/>
    <w:rsid w:val="00FF175B"/>
    <w:rsid w:val="00FF2167"/>
    <w:rsid w:val="00FF5198"/>
    <w:rsid w:val="00FF6B2E"/>
    <w:rsid w:val="00FF6E78"/>
    <w:rsid w:val="022968DE"/>
    <w:rsid w:val="02987694"/>
    <w:rsid w:val="04220BDA"/>
    <w:rsid w:val="056A479D"/>
    <w:rsid w:val="0ABD2C69"/>
    <w:rsid w:val="0AC23CEE"/>
    <w:rsid w:val="0AC90457"/>
    <w:rsid w:val="0B2E08DC"/>
    <w:rsid w:val="0F62209A"/>
    <w:rsid w:val="13700032"/>
    <w:rsid w:val="140C3737"/>
    <w:rsid w:val="142A3FF4"/>
    <w:rsid w:val="16C908C6"/>
    <w:rsid w:val="1881192E"/>
    <w:rsid w:val="18A45BE8"/>
    <w:rsid w:val="1BEF3AAD"/>
    <w:rsid w:val="1D093A2E"/>
    <w:rsid w:val="1D4757E8"/>
    <w:rsid w:val="1ECE6FD1"/>
    <w:rsid w:val="1F402AD1"/>
    <w:rsid w:val="22554967"/>
    <w:rsid w:val="24EE5E70"/>
    <w:rsid w:val="278E20EE"/>
    <w:rsid w:val="291B463B"/>
    <w:rsid w:val="2A466E10"/>
    <w:rsid w:val="2E3143A2"/>
    <w:rsid w:val="2F176593"/>
    <w:rsid w:val="30CC2F5A"/>
    <w:rsid w:val="30E326B5"/>
    <w:rsid w:val="316B59CE"/>
    <w:rsid w:val="32EC7CFA"/>
    <w:rsid w:val="33E37370"/>
    <w:rsid w:val="35E72DDF"/>
    <w:rsid w:val="36FA1251"/>
    <w:rsid w:val="37396ADC"/>
    <w:rsid w:val="391B217D"/>
    <w:rsid w:val="39F567F8"/>
    <w:rsid w:val="3B06175D"/>
    <w:rsid w:val="3DDB6924"/>
    <w:rsid w:val="3EA63FA4"/>
    <w:rsid w:val="3F500E65"/>
    <w:rsid w:val="42E31EF5"/>
    <w:rsid w:val="447F037D"/>
    <w:rsid w:val="474F3CAC"/>
    <w:rsid w:val="47E61F79"/>
    <w:rsid w:val="491F225E"/>
    <w:rsid w:val="49AB2CFB"/>
    <w:rsid w:val="4ABF00DE"/>
    <w:rsid w:val="4C605AE8"/>
    <w:rsid w:val="4F532D5F"/>
    <w:rsid w:val="4FCB4F83"/>
    <w:rsid w:val="502B7CC4"/>
    <w:rsid w:val="53DA4B64"/>
    <w:rsid w:val="581E1097"/>
    <w:rsid w:val="59A907F3"/>
    <w:rsid w:val="59B30F92"/>
    <w:rsid w:val="59B736C4"/>
    <w:rsid w:val="5A6A753D"/>
    <w:rsid w:val="5C941835"/>
    <w:rsid w:val="5CAE1C3E"/>
    <w:rsid w:val="5D1138A0"/>
    <w:rsid w:val="5E314B06"/>
    <w:rsid w:val="5E9530DE"/>
    <w:rsid w:val="5F2772A5"/>
    <w:rsid w:val="5F4E2AFF"/>
    <w:rsid w:val="5F875865"/>
    <w:rsid w:val="626E2CE7"/>
    <w:rsid w:val="632E1DB6"/>
    <w:rsid w:val="63B972B0"/>
    <w:rsid w:val="63CC3F6C"/>
    <w:rsid w:val="64923CDC"/>
    <w:rsid w:val="6562163F"/>
    <w:rsid w:val="66042B12"/>
    <w:rsid w:val="6640612A"/>
    <w:rsid w:val="67467804"/>
    <w:rsid w:val="67A529B0"/>
    <w:rsid w:val="6907530E"/>
    <w:rsid w:val="69A535D4"/>
    <w:rsid w:val="69AD156A"/>
    <w:rsid w:val="6A561D7E"/>
    <w:rsid w:val="6AAE2171"/>
    <w:rsid w:val="6B416C5A"/>
    <w:rsid w:val="6C4E6982"/>
    <w:rsid w:val="701672FA"/>
    <w:rsid w:val="70F20AF1"/>
    <w:rsid w:val="714F122A"/>
    <w:rsid w:val="735A3B6B"/>
    <w:rsid w:val="74135F08"/>
    <w:rsid w:val="75F93898"/>
    <w:rsid w:val="76815C82"/>
    <w:rsid w:val="77A10F1F"/>
    <w:rsid w:val="7A055FC7"/>
    <w:rsid w:val="7A1D1313"/>
    <w:rsid w:val="7A1E3B6A"/>
    <w:rsid w:val="7A3A6702"/>
    <w:rsid w:val="7C4C621F"/>
    <w:rsid w:val="7F607CBC"/>
    <w:rsid w:val="7F64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Salutation"/>
    <w:basedOn w:val="1"/>
    <w:next w:val="1"/>
    <w:link w:val="17"/>
    <w:unhideWhenUsed/>
    <w:uiPriority w:val="0"/>
    <w:rPr>
      <w:rFonts w:ascii="方正仿宋_GBK" w:hAnsi="Tahoma" w:eastAsia="仿宋_GB2312"/>
      <w:sz w:val="32"/>
      <w:szCs w:val="32"/>
    </w:rPr>
  </w:style>
  <w:style w:type="paragraph" w:styleId="4">
    <w:name w:val="Body Text Indent"/>
    <w:basedOn w:val="1"/>
    <w:uiPriority w:val="0"/>
    <w:pPr>
      <w:spacing w:after="120"/>
      <w:ind w:left="420" w:leftChars="200"/>
    </w:pPr>
    <w:rPr>
      <w:rFonts w:eastAsia="仿宋_GB2312"/>
      <w:sz w:val="32"/>
      <w:szCs w:val="20"/>
    </w:rPr>
  </w:style>
  <w:style w:type="paragraph" w:styleId="5">
    <w:name w:val="Plain Text"/>
    <w:basedOn w:val="1"/>
    <w:link w:val="18"/>
    <w:uiPriority w:val="0"/>
    <w:pPr>
      <w:adjustRightInd w:val="0"/>
      <w:textAlignment w:val="baseline"/>
    </w:pPr>
    <w:rPr>
      <w:rFonts w:ascii="宋体" w:hAnsi="Courier New" w:eastAsia="方正仿宋_GBK"/>
      <w:sz w:val="32"/>
      <w:szCs w:val="21"/>
    </w:rPr>
  </w:style>
  <w:style w:type="paragraph" w:styleId="6">
    <w:name w:val="Balloon Text"/>
    <w:basedOn w:val="1"/>
    <w:semiHidden/>
    <w:uiPriority w:val="0"/>
    <w:rPr>
      <w:sz w:val="18"/>
      <w:szCs w:val="18"/>
    </w:rPr>
  </w:style>
  <w:style w:type="paragraph" w:styleId="7">
    <w:name w:val="footer"/>
    <w:basedOn w:val="1"/>
    <w:link w:val="19"/>
    <w:uiPriority w:val="99"/>
    <w:pPr>
      <w:tabs>
        <w:tab w:val="center" w:pos="4153"/>
        <w:tab w:val="right" w:pos="8306"/>
      </w:tabs>
      <w:snapToGrid w:val="0"/>
      <w:jc w:val="left"/>
    </w:pPr>
    <w:rPr>
      <w:sz w:val="18"/>
      <w:szCs w:val="18"/>
      <w:lang w:val="zh-CN" w:eastAsia="zh-CN"/>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lang w:val="zh-CN" w:eastAsia="zh-CN"/>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semiHidden/>
    <w:uiPriority w:val="0"/>
    <w:rPr>
      <w:b/>
      <w:bCs/>
    </w:rPr>
  </w:style>
  <w:style w:type="character" w:styleId="13">
    <w:name w:val="page number"/>
    <w:qFormat/>
    <w:uiPriority w:val="0"/>
    <w:rPr>
      <w:rFonts w:ascii="方正仿宋_GBK" w:hAnsi="Tahoma" w:eastAsia="方正仿宋_GBK"/>
      <w:kern w:val="2"/>
      <w:sz w:val="32"/>
      <w:szCs w:val="32"/>
      <w:lang w:val="en-US" w:eastAsia="zh-CN" w:bidi="ar-SA"/>
    </w:rPr>
  </w:style>
  <w:style w:type="character" w:styleId="14">
    <w:name w:val="Hyperlink"/>
    <w:uiPriority w:val="0"/>
    <w:rPr>
      <w:rFonts w:ascii="方正仿宋_GBK" w:hAnsi="Tahoma" w:eastAsia="方正仿宋_GBK"/>
      <w:color w:val="003278"/>
      <w:kern w:val="2"/>
      <w:sz w:val="32"/>
      <w:szCs w:val="32"/>
      <w:u w:val="none"/>
      <w:lang w:val="en-US" w:eastAsia="zh-CN" w:bidi="ar-SA"/>
    </w:rPr>
  </w:style>
  <w:style w:type="character" w:styleId="15">
    <w:name w:val="annotation reference"/>
    <w:semiHidden/>
    <w:uiPriority w:val="0"/>
    <w:rPr>
      <w:rFonts w:ascii="方正仿宋_GBK" w:hAnsi="Tahoma" w:eastAsia="方正仿宋_GBK"/>
      <w:kern w:val="2"/>
      <w:sz w:val="21"/>
      <w:szCs w:val="21"/>
      <w:lang w:val="en-US" w:eastAsia="zh-CN" w:bidi="ar-SA"/>
    </w:rPr>
  </w:style>
  <w:style w:type="character" w:customStyle="1" w:styleId="16">
    <w:name w:val="页眉 Char"/>
    <w:link w:val="8"/>
    <w:uiPriority w:val="0"/>
    <w:rPr>
      <w:kern w:val="2"/>
      <w:sz w:val="18"/>
      <w:szCs w:val="18"/>
      <w:lang w:bidi="ar-SA"/>
    </w:rPr>
  </w:style>
  <w:style w:type="character" w:customStyle="1" w:styleId="17">
    <w:name w:val="称呼 Char"/>
    <w:link w:val="3"/>
    <w:semiHidden/>
    <w:uiPriority w:val="0"/>
    <w:rPr>
      <w:rFonts w:ascii="方正仿宋_GBK" w:hAnsi="Tahoma" w:eastAsia="仿宋_GB2312"/>
      <w:kern w:val="2"/>
      <w:sz w:val="32"/>
      <w:szCs w:val="32"/>
      <w:lang w:val="en-US" w:eastAsia="zh-CN" w:bidi="ar-SA"/>
    </w:rPr>
  </w:style>
  <w:style w:type="character" w:customStyle="1" w:styleId="18">
    <w:name w:val="纯文本 Char"/>
    <w:link w:val="5"/>
    <w:uiPriority w:val="0"/>
    <w:rPr>
      <w:rFonts w:ascii="宋体" w:hAnsi="Courier New" w:eastAsia="方正仿宋_GBK"/>
      <w:kern w:val="2"/>
      <w:sz w:val="32"/>
      <w:szCs w:val="21"/>
      <w:lang w:val="en-US" w:eastAsia="zh-CN" w:bidi="ar-SA"/>
    </w:rPr>
  </w:style>
  <w:style w:type="character" w:customStyle="1" w:styleId="19">
    <w:name w:val="页脚 Char"/>
    <w:link w:val="7"/>
    <w:uiPriority w:val="99"/>
    <w:rPr>
      <w:kern w:val="2"/>
      <w:sz w:val="18"/>
      <w:szCs w:val="18"/>
      <w:lang w:bidi="ar-SA"/>
    </w:rPr>
  </w:style>
  <w:style w:type="character" w:customStyle="1" w:styleId="20">
    <w:name w:val=" Char Char4"/>
    <w:uiPriority w:val="0"/>
    <w:rPr>
      <w:kern w:val="2"/>
      <w:sz w:val="18"/>
      <w:szCs w:val="18"/>
    </w:rPr>
  </w:style>
  <w:style w:type="paragraph" w:customStyle="1" w:styleId="21">
    <w:name w:val="Char"/>
    <w:basedOn w:val="1"/>
    <w:uiPriority w:val="0"/>
    <w:pPr>
      <w:spacing w:line="440" w:lineRule="exact"/>
      <w:jc w:val="center"/>
    </w:pPr>
    <w:rPr>
      <w:rFonts w:ascii="方正仿宋_GBK" w:hAnsi="Tahoma" w:eastAsia="方正仿宋_GBK"/>
      <w:sz w:val="32"/>
      <w:szCs w:val="32"/>
    </w:rPr>
  </w:style>
  <w:style w:type="paragraph" w:customStyle="1" w:styleId="22">
    <w:name w:val="_Style 1"/>
    <w:basedOn w:val="1"/>
    <w:uiPriority w:val="0"/>
    <w:pPr>
      <w:tabs>
        <w:tab w:val="left" w:pos="2232"/>
      </w:tabs>
      <w:spacing w:line="500" w:lineRule="exact"/>
      <w:jc w:val="center"/>
    </w:pPr>
    <w:rPr>
      <w:rFonts w:ascii="仿宋_GB2312" w:hAnsi="Tahoma" w:eastAsia="仿宋_GB2312"/>
      <w:sz w:val="32"/>
      <w:szCs w:val="32"/>
    </w:rPr>
  </w:style>
  <w:style w:type="paragraph" w:customStyle="1" w:styleId="23">
    <w:name w:val="p0"/>
    <w:basedOn w:val="1"/>
    <w:uiPriority w:val="0"/>
    <w:pPr>
      <w:widowControl/>
    </w:pPr>
    <w:rPr>
      <w:kern w:val="0"/>
      <w:szCs w:val="21"/>
    </w:rPr>
  </w:style>
  <w:style w:type="paragraph" w:customStyle="1" w:styleId="24">
    <w:name w:val="p17"/>
    <w:basedOn w:val="1"/>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header" Target="header10.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sqa</Company>
  <Pages>27</Pages>
  <Words>1998</Words>
  <Characters>11392</Characters>
  <Lines>94</Lines>
  <Paragraphs>26</Paragraphs>
  <TotalTime>3</TotalTime>
  <ScaleCrop>false</ScaleCrop>
  <LinksUpToDate>false</LinksUpToDate>
  <CharactersWithSpaces>13364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2020-07-06T03:22:00Z</dcterms:created>
  <dc:creator>null</dc:creator>
  <cp:lastModifiedBy>小风筝_薇</cp:lastModifiedBy>
  <cp:lastPrinted>2020-07-06T03:24:00Z</cp:lastPrinted>
  <dcterms:modified xsi:type="dcterms:W3CDTF">2023-04-07T08:24:37Z</dcterms:modified>
  <dc:title>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522F365F16E1422B85D94EBE08726884_12</vt:lpwstr>
  </property>
</Properties>
</file>