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contextualSpacing/>
        <w:jc w:val="center"/>
        <w:rPr>
          <w:rFonts w:ascii="方正小标宋简体" w:eastAsia="方正小标宋简体"/>
          <w:sz w:val="44"/>
          <w:szCs w:val="52"/>
        </w:rPr>
      </w:pPr>
      <w:r>
        <w:rPr>
          <w:rFonts w:hint="eastAsia" w:ascii="方正小标宋简体" w:eastAsia="方正小标宋简体"/>
          <w:sz w:val="44"/>
          <w:szCs w:val="52"/>
        </w:rPr>
        <w:t>滨海新区市场监管局2020年</w:t>
      </w:r>
    </w:p>
    <w:p>
      <w:pPr>
        <w:snapToGrid w:val="0"/>
        <w:spacing w:line="560" w:lineRule="exact"/>
        <w:contextualSpacing/>
        <w:jc w:val="center"/>
        <w:rPr>
          <w:rFonts w:ascii="方正小标宋简体" w:eastAsia="方正小标宋简体"/>
          <w:sz w:val="44"/>
          <w:szCs w:val="52"/>
        </w:rPr>
      </w:pPr>
      <w:r>
        <w:rPr>
          <w:rFonts w:hint="eastAsia" w:ascii="方正小标宋简体" w:eastAsia="方正小标宋简体"/>
          <w:sz w:val="44"/>
          <w:szCs w:val="52"/>
        </w:rPr>
        <w:t>上半年工作总结</w:t>
      </w:r>
    </w:p>
    <w:p>
      <w:pPr>
        <w:spacing w:line="640" w:lineRule="exact"/>
        <w:ind w:firstLine="720" w:firstLineChars="200"/>
        <w:rPr>
          <w:rFonts w:ascii="仿宋_GB2312" w:hAnsi="仿宋_GB2312" w:eastAsia="仿宋_GB2312" w:cs="仿宋_GB2312"/>
          <w:bCs/>
          <w:sz w:val="36"/>
          <w:szCs w:val="36"/>
        </w:rPr>
      </w:pP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2020年上半年，面对来势汹汹的疫情，滨海新区市场监管局坚持以习近平新时代中国特色社会主义思想为指导，增强“四个意识”、坚定“四个自信”、做到“两个维护”，全员投入疫情防控阻击战、持久战，主动投身复工复产、促进经济社会发展工作大局，以两战并举为主线，以双胜双赢为目标，始终奋战在各项工作的阵地前沿，在优化营商环境、服务企业发展、规范市场秩序、提升执法效能各方面得到区委、区政府和市市场监管委的充分肯定。</w:t>
      </w:r>
    </w:p>
    <w:p>
      <w:pPr>
        <w:snapToGrid w:val="0"/>
        <w:spacing w:line="560" w:lineRule="exact"/>
        <w:ind w:firstLine="645"/>
        <w:contextualSpacing/>
        <w:jc w:val="left"/>
        <w:rPr>
          <w:rFonts w:ascii="黑体" w:hAnsi="黑体" w:eastAsia="黑体"/>
          <w:sz w:val="32"/>
          <w:szCs w:val="32"/>
        </w:rPr>
      </w:pPr>
      <w:r>
        <w:rPr>
          <w:rFonts w:hint="eastAsia" w:ascii="黑体" w:hAnsi="黑体" w:eastAsia="黑体"/>
          <w:sz w:val="32"/>
          <w:szCs w:val="32"/>
        </w:rPr>
        <w:t>一、着力加强党的建设，推动从严治党取得显著成效</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一是坚决扛起从严治党的政治责任。</w:t>
      </w:r>
      <w:r>
        <w:rPr>
          <w:rFonts w:hint="eastAsia" w:ascii="仿宋_GB2312" w:hAnsi="仿宋_GB2312" w:eastAsia="仿宋_GB2312" w:cs="仿宋_GB2312"/>
          <w:bCs/>
          <w:kern w:val="0"/>
          <w:sz w:val="32"/>
          <w:szCs w:val="32"/>
        </w:rPr>
        <w:t>始终把党的政治建设放在首位，强化党建引领，压紧压实责任，严明纪律作风，从严管理干部，为统筹做好疫情防控和市场监管各项工作提供了坚强政治保障。</w:t>
      </w:r>
      <w:r>
        <w:rPr>
          <w:rFonts w:hint="eastAsia" w:ascii="仿宋_GB2312" w:hAnsi="Times New Roman" w:eastAsia="仿宋_GB2312"/>
          <w:sz w:val="32"/>
          <w:szCs w:val="32"/>
        </w:rPr>
        <w:t>局党委领导班子和每位成员，认真制定了《落实全面从严治党主体责任清单和任务清单》，细化明确了领导班子36项责任、76项任务措施，第一责任人14项责任、30项任务措施，其他班子成员60项责任、127项任务措施。先后制定印发滨海新区市场监管局2020年党建工作要点、形式主义官僚主义不作为不担当问题专项治理工作要点和基层党建工作重点任务，并组织推动各项工作落到实处。</w:t>
      </w:r>
      <w:r>
        <w:rPr>
          <w:rFonts w:hint="eastAsia" w:ascii="仿宋_GB2312" w:hAnsi="仿宋_GB2312" w:eastAsia="仿宋_GB2312" w:cs="仿宋_GB2312"/>
          <w:bCs/>
          <w:kern w:val="0"/>
          <w:sz w:val="32"/>
          <w:szCs w:val="32"/>
        </w:rPr>
        <w:t>认真落实区委组织部与区市场监管局党委联合制定的《关于党建引领市场监管文明服务专项行动方案》，组织开展亲商惠商、诚信经营等10项“专项行动”，促进打造一流营商环境，助力创文创卫攻坚夺牌。</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二是依托党建工作构筑抗疫堡垒。</w:t>
      </w:r>
      <w:r>
        <w:rPr>
          <w:rFonts w:hint="eastAsia" w:ascii="仿宋_GB2312" w:hAnsi="仿宋_GB2312" w:eastAsia="仿宋_GB2312" w:cs="仿宋_GB2312"/>
          <w:bCs/>
          <w:kern w:val="0"/>
          <w:sz w:val="32"/>
          <w:szCs w:val="32"/>
        </w:rPr>
        <w:t>区局党委以上率下，</w:t>
      </w:r>
      <w:bookmarkStart w:id="0" w:name="_GoBack"/>
      <w:bookmarkEnd w:id="0"/>
      <w:r>
        <w:rPr>
          <w:rFonts w:hint="eastAsia" w:ascii="仿宋_GB2312" w:hAnsi="仿宋_GB2312" w:eastAsia="仿宋_GB2312" w:cs="仿宋_GB2312"/>
          <w:bCs/>
          <w:kern w:val="0"/>
          <w:sz w:val="32"/>
          <w:szCs w:val="32"/>
        </w:rPr>
        <w:t xml:space="preserve">明确10项具体措施，进一步发挥基层党组织战斗堡垒作用和党员先锋模范作用。在防控指挥中心综合指挥组建立临时党支部，编发基层党建疫情防控系列专刊，深度挖掘党支部工作先进做法和党员干部典型事迹。各党支部和全体党员通过建立党员责任区、党员示范岗、党员突击队、重温入党誓词、承诺践诺“五个带头”等形式，汇聚疫情防控的强大力量。 </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三是扎实做好基层党建工作。</w:t>
      </w:r>
      <w:r>
        <w:rPr>
          <w:rFonts w:hint="eastAsia" w:ascii="仿宋_GB2312" w:hAnsi="仿宋_GB2312" w:eastAsia="仿宋_GB2312" w:cs="仿宋_GB2312"/>
          <w:bCs/>
          <w:kern w:val="0"/>
          <w:sz w:val="32"/>
          <w:szCs w:val="32"/>
        </w:rPr>
        <w:t>调整局党委领导班子成员基层党支部工作联系点，召开2019年度局属党组织书记抓基层党建工作述职评议会，制定考核细则，推进基层党建工作标准化、规范化。</w:t>
      </w:r>
      <w:r>
        <w:rPr>
          <w:rFonts w:ascii="仿宋_GB2312" w:hAnsi="仿宋_GB2312" w:eastAsia="仿宋_GB2312" w:cs="仿宋_GB2312"/>
          <w:bCs/>
          <w:kern w:val="0"/>
          <w:sz w:val="32"/>
          <w:szCs w:val="32"/>
        </w:rPr>
        <w:t>择优上报</w:t>
      </w:r>
      <w:r>
        <w:rPr>
          <w:rFonts w:hint="eastAsia" w:ascii="仿宋_GB2312" w:hAnsi="仿宋_GB2312" w:eastAsia="仿宋_GB2312" w:cs="仿宋_GB2312"/>
          <w:bCs/>
          <w:kern w:val="0"/>
          <w:sz w:val="32"/>
          <w:szCs w:val="32"/>
        </w:rPr>
        <w:t>全局“</w:t>
      </w:r>
      <w:r>
        <w:rPr>
          <w:rFonts w:ascii="仿宋_GB2312" w:hAnsi="仿宋_GB2312" w:eastAsia="仿宋_GB2312" w:cs="仿宋_GB2312"/>
          <w:bCs/>
          <w:kern w:val="0"/>
          <w:sz w:val="32"/>
          <w:szCs w:val="32"/>
        </w:rPr>
        <w:t>五好党支部</w:t>
      </w:r>
      <w:r>
        <w:rPr>
          <w:rFonts w:hint="eastAsia" w:ascii="仿宋_GB2312" w:hAnsi="仿宋_GB2312" w:eastAsia="仿宋_GB2312" w:cs="仿宋_GB2312"/>
          <w:bCs/>
          <w:kern w:val="0"/>
          <w:sz w:val="32"/>
          <w:szCs w:val="32"/>
        </w:rPr>
        <w:t>”和</w:t>
      </w:r>
      <w:r>
        <w:rPr>
          <w:rFonts w:ascii="仿宋_GB2312" w:hAnsi="仿宋_GB2312" w:eastAsia="仿宋_GB2312" w:cs="仿宋_GB2312"/>
          <w:bCs/>
          <w:kern w:val="0"/>
          <w:sz w:val="32"/>
          <w:szCs w:val="32"/>
        </w:rPr>
        <w:t>排查确定相对后进党支部</w:t>
      </w:r>
      <w:r>
        <w:rPr>
          <w:rFonts w:hint="eastAsia" w:ascii="仿宋_GB2312" w:hAnsi="仿宋_GB2312" w:eastAsia="仿宋_GB2312" w:cs="仿宋_GB2312"/>
          <w:bCs/>
          <w:kern w:val="0"/>
          <w:sz w:val="32"/>
          <w:szCs w:val="32"/>
        </w:rPr>
        <w:t>，做好整顿提升工作</w:t>
      </w:r>
      <w:r>
        <w:rPr>
          <w:rFonts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rPr>
        <w:t>深入学习贯彻《中国共产党党和国家机关基层组织工作条例》，开展全面自查，查缺补漏。积极开展“党课开讲啦”活动和“学抗疫精神、争滨海先锋”主题党日活动。推动开展“党建+服务基层”工作，组织做好慰问生活困难党员和“万名党员联万户”活动。进一步推动做好“双报到”工作，16个党组织、528名党员完成“双报到”工作。发挥党建带团建作用，召开第一次团员大会，选举产生共青团新区市场监管局第一届委员会。</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四是持续深化正风肃纪。</w:t>
      </w:r>
      <w:r>
        <w:rPr>
          <w:rFonts w:hint="eastAsia" w:ascii="仿宋_GB2312" w:hAnsi="仿宋_GB2312" w:eastAsia="仿宋_GB2312" w:cs="仿宋_GB2312"/>
          <w:bCs/>
          <w:kern w:val="0"/>
          <w:sz w:val="32"/>
          <w:szCs w:val="32"/>
        </w:rPr>
        <w:t>召开处级干部和单位主要负责人警示教育会议，点名道姓通报全局受问责人员情况。先后制定印发在防控新冠肺炎疫情中严明作风纪律等通知，及时转发全区典型问题通报，把纪律和规矩挺在前面。组织各单位各部门完成“小金库”问题专项治理自查自纠和重点检查。对着装风纪及办公环境进行专项检查。聚焦利用工作时间、使用办公设施买卖股票的问题对办公设备使用情况进行自查自纠。紧盯元旦、春节等重要节点，严明纪律要求和规矩红线。今年以来，全局因违反党的廉洁纪律、法律法规等问题，给予党纪处分3人，运用监督执纪“第一种形态”批评教育帮助23人。</w:t>
      </w:r>
    </w:p>
    <w:p>
      <w:pPr>
        <w:snapToGrid w:val="0"/>
        <w:spacing w:line="560" w:lineRule="exact"/>
        <w:ind w:firstLine="645"/>
        <w:contextualSpacing/>
        <w:jc w:val="left"/>
        <w:rPr>
          <w:rFonts w:ascii="黑体" w:hAnsi="黑体" w:eastAsia="黑体"/>
          <w:sz w:val="32"/>
          <w:szCs w:val="32"/>
        </w:rPr>
      </w:pPr>
      <w:r>
        <w:rPr>
          <w:rFonts w:hint="eastAsia" w:ascii="黑体" w:hAnsi="黑体" w:eastAsia="黑体"/>
          <w:sz w:val="32"/>
          <w:szCs w:val="32"/>
        </w:rPr>
        <w:t>二、着力打赢疫情防控阻击战、持久战，区委、区政府对区市场监管局的重视程度显著提升</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一是迅速行动，打好疫情阻击战。</w:t>
      </w:r>
      <w:r>
        <w:rPr>
          <w:rFonts w:hint="eastAsia" w:ascii="仿宋_GB2312" w:hAnsi="仿宋_GB2312" w:eastAsia="仿宋_GB2312" w:cs="仿宋_GB2312"/>
          <w:bCs/>
          <w:kern w:val="0"/>
          <w:sz w:val="32"/>
          <w:szCs w:val="32"/>
        </w:rPr>
        <w:t>第一时间成立区局疫情防控指挥部，仅用一天时间，对全部81个依法登记的农贸市场完成全覆盖检查，实现活禽交易、活禽宰杀、野生动物非法交易“三无”和动态“四个清零”；迅速制定价格临时管控措施，向50个大型商超、菜市场派驻100名价格监督员，全天候驻场巡管；制定“九必查”“三不许”的战时药店监管举措，用时不到24小时，全区672家药店全部落实“实名登记”“窗口售药”等12条升级版防控措施；以囤积居奇、哄抬物价等为打击重点，共办结案件953件,罚没款合计460.751万元。在市政府调度会上，现场快速核对158家医疗器械企业，迅速确定赛远科技、顺博医疗为物资保障企业。派员驻场服务泰达儿童药厂、赛远科技、顺博医疗、柯顿等企业，围绕防护服、温度快速筛检仪、医用口罩等物资，确保企业开工、产品投放、医护应用一路畅通。协同区指挥部物资保障组，对进口防控物资开展质量监测，共分拣防护服8500套，口罩38.3万个，抽检口罩合格4.1万个，切实保障新区一线医护人员安全。</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二是制定持企业复工复产“五十条”措施。</w:t>
      </w:r>
      <w:r>
        <w:rPr>
          <w:rFonts w:hint="eastAsia" w:ascii="仿宋_GB2312" w:hAnsi="仿宋_GB2312" w:eastAsia="仿宋_GB2312" w:cs="仿宋_GB2312"/>
          <w:bCs/>
          <w:kern w:val="0"/>
          <w:sz w:val="32"/>
          <w:szCs w:val="32"/>
        </w:rPr>
        <w:t>从8个方面精准施策，打出助力企业复工复产的“组合拳”。“特事特办”支持防控物资生产企业扩大产能，累计达到135家；延长换证期限惠及企业23家、操作人员11000余人；免征特种设备、计量器具等行政事业性费用累计超过723.68万元；助力中澳成功实业公司获得股权质押融资达20.19亿元；护航诺和诺德公司顺利完成药品进出口，贸易总额达17.3亿元；快速完成盛实百草药业资产剥离有关变更注册登记，预计注入外资15亿元；为久益环球、维斯塔斯、三星机电、一汽丰田等企业产品快速办理免3C证明，实现快速通关，货值近8837.7万元；完成32家创新主体的专利快速审查备案，新区10家“中华老字号”“津门老字号”企业已全部复工复产；实施网上申报、网上受理，完成1436台设备检验工作，发现安全隐患29项，逐项落实整改，严防特种设备“带病”作业，守好复工复产安全红线。</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三是扎实做好“六稳”“六保”工作。</w:t>
      </w:r>
      <w:r>
        <w:rPr>
          <w:rFonts w:hint="eastAsia" w:ascii="仿宋_GB2312" w:hAnsi="仿宋_GB2312" w:eastAsia="仿宋_GB2312" w:cs="仿宋_GB2312"/>
          <w:bCs/>
          <w:kern w:val="0"/>
          <w:sz w:val="32"/>
          <w:szCs w:val="32"/>
        </w:rPr>
        <w:t>千方百计保障市场主体，优化营商环境，助力新区经济社会腾飞发展。实行经营异常名录审慎管理，延长个体工商户年报报送时间。发放2万余份《滨海新区市场监管局支持个体工商户复工复业明白纸》，建立不同的个体工商户服务微信群。提请区政府印发《滨海新区禁止个体工商户登记经营的场所区域和限制性条件清单》、《关于公布滨海新区豁免登记场所第二批点位的通知》，进一步释放经营场所资源。支持医用防护服、口罩等疫情防控医用物资生产和辅料企业扩大产能“马上就办”。累计办理经营范围涉及口罩、防护服类的企业登记业务498家。全面实行“网上办、不见面”审批，全区实行“网上办、不见面”办件数量56227件。加快疫情防控物资生产企业落地。先后为21家企业快速发放药品和医疗器械生产许可证。</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四是焦企业发展的难点、痛点问题，点对点开展“政策+技术”服务。</w:t>
      </w:r>
      <w:r>
        <w:rPr>
          <w:rFonts w:hint="eastAsia" w:ascii="仿宋_GB2312" w:hAnsi="仿宋_GB2312" w:eastAsia="仿宋_GB2312" w:cs="仿宋_GB2312"/>
          <w:bCs/>
          <w:kern w:val="0"/>
          <w:sz w:val="32"/>
          <w:szCs w:val="32"/>
        </w:rPr>
        <w:t>组建八个“政策+技术”帮扶组，制定第一批35项工作措施、第一批帮扶组成员名单和第一批76家重点帮扶企业名单，提供“个性化定制”和“一对一”“点对点”帮扶，全方位、立体化助力各类企业持续向好发展。深入基层、深入一线、深入企业，宣讲各项帮扶举措以及惠企措施，帮扶企业过程中突出技术帮扶，全力纾解企业困境。共帮扶企业609家次，解决问题238个，减免服务性收费223.38万元，开展免费技术服务454次，为企业开展不见面审批、审评、审查166次，开展专利预审86个。</w:t>
      </w:r>
    </w:p>
    <w:p>
      <w:pPr>
        <w:snapToGrid w:val="0"/>
        <w:spacing w:line="560" w:lineRule="exact"/>
        <w:ind w:firstLine="645"/>
        <w:contextualSpacing/>
        <w:jc w:val="left"/>
        <w:rPr>
          <w:rFonts w:ascii="黑体" w:hAnsi="黑体" w:eastAsia="黑体"/>
          <w:sz w:val="32"/>
          <w:szCs w:val="32"/>
        </w:rPr>
      </w:pPr>
      <w:r>
        <w:rPr>
          <w:rFonts w:hint="eastAsia" w:ascii="黑体" w:hAnsi="黑体" w:eastAsia="黑体"/>
          <w:sz w:val="32"/>
          <w:szCs w:val="32"/>
        </w:rPr>
        <w:t>三、着力深化改革，助力营商环境和诚信体系建设成果取得显著提升</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一是紧密对接滨海新区政务服务改革大局。</w:t>
      </w:r>
      <w:r>
        <w:rPr>
          <w:rFonts w:hint="eastAsia" w:ascii="仿宋_GB2312" w:hAnsi="仿宋_GB2312" w:eastAsia="仿宋_GB2312" w:cs="仿宋_GB2312"/>
          <w:bCs/>
          <w:kern w:val="0"/>
          <w:sz w:val="32"/>
          <w:szCs w:val="32"/>
        </w:rPr>
        <w:t>推动行政许可服务与政策研究职能分离改革，集中优化政务服务力量，实行全流程、全链条、一站式政务服务。支持天津自贸区创新发展局有限公司、滨海新区国有资本投资运营有限公司等企业落地。进一步落实“证照分离，多证合一”改革措施，深化推动“一制三化”，落实“五减”“四办”。进一步压缩企业开办时间，实现一网通办。上半年，全区（含自贸区）新增市场主体24967户，同比增长37%。全区（含自贸区）实有市场主体261355户，同比增长23.18%。全程电子化登记市场主体18365户，网络登记率96.97%，实现无纸化登记的16498户，达到89.83%。审批改备案事项办理316件，告知承诺事项办理12件，优化审批服务事项办理5178件。实行一制三化审批74995件。</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二是持续推动高质量发展升级换挡。</w:t>
      </w:r>
      <w:r>
        <w:rPr>
          <w:rFonts w:hint="eastAsia" w:ascii="仿宋_GB2312" w:hAnsi="仿宋_GB2312" w:eastAsia="仿宋_GB2312" w:cs="仿宋_GB2312"/>
          <w:bCs/>
          <w:kern w:val="0"/>
          <w:sz w:val="32"/>
          <w:szCs w:val="32"/>
        </w:rPr>
        <w:t>深入贯彻落实《滨海新区关于开展质量提升行动推进质量强区战略的实施意见》，制定印发2020年度工作任务清单。完成第六届滨海新区质量奖评审工作。组织迎接天津市对滨海新区质量工作评价。开展2020年质量攻关活动, 42家企业300个项目完成申报，占全市总数41.4%。开展重点工业产品质量安全隐患、消防产品、危化品及其包装物获证企业、化肥产品质量、平板玻璃、钢铁、水泥产品生产许可证企业、成品油、民用口罩等防疫物资产品质量等专项治理。向23家获得历届“滨海新区质量奖”的企业发出倡议书，发挥滨海新区质量奖获奖企业的引领作用。进一步落实企业标准自我公开声明制度。组织13家企业申报23项天津市标准化资助项目。推动11家企业完成百城千业万企对标达标34项。检查9家企业的9项民用口罩企业标准，1家企业的口罩滤材企业标准，2家企业的4项红外体温计产品标准。贯彻落实《滨海新区加强质量认证体系建设促进全面质量管理实施方案》，营造质量认证体系建设的良好舆论环境，提高检验检测、认证认可的社会知晓度，切实增强公共技术服务能力。</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三是全面推动知识产权工作。</w:t>
      </w:r>
      <w:r>
        <w:rPr>
          <w:rFonts w:hint="eastAsia" w:ascii="仿宋_GB2312" w:hAnsi="仿宋_GB2312" w:eastAsia="仿宋_GB2312" w:cs="仿宋_GB2312"/>
          <w:bCs/>
          <w:kern w:val="0"/>
          <w:sz w:val="32"/>
          <w:szCs w:val="32"/>
        </w:rPr>
        <w:t>落实2019年天津市第二批及第三批专利资助775.4万元，覆盖全区600余家企事业单位。完成市级知识产权重点资助项目结项验收，其中高价值专利培育项目10个、专利试点园区2个、专利导航项目9个。组织申报天津市专利奖。完成1家天津市青少年教育示范学校认定验收。完成22家企业专利提升转型。积极开展知识产权保护专项行动，在专利保护机制和专利违法行为查处上取得新进展，办结一起假冒专利案件，实现滨海新区专利执法领域“零”突破。充分发挥知识产权保护中心作用，在保护中心和保税区建成两个商标注册工作窗口。上半年备案企业454家，受理预审案件488件，其中发明187件、实用新型267件、外观设计34件，已审结案443件，其中152件已授权，商标窗口受理55件。上半年成功申报并获批国家知识产权运营体系建设，为新区争取中央财政专项支持资金1.5亿元。</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四是强化事中事后监管工作效能。</w:t>
      </w:r>
      <w:r>
        <w:rPr>
          <w:rFonts w:hint="eastAsia" w:ascii="仿宋_GB2312" w:hAnsi="仿宋_GB2312" w:eastAsia="仿宋_GB2312" w:cs="仿宋_GB2312"/>
          <w:bCs/>
          <w:kern w:val="0"/>
          <w:sz w:val="32"/>
          <w:szCs w:val="32"/>
        </w:rPr>
        <w:t>集中力量攻坚克难，高标准对接国务院“互联网+监管”系统，完成数据信息1万余条录入工作。以年报工作为诚信建设切入点，大力推动市场主体年报率提升，下大力气开展违法失信企业治理和信用修复工作。共列入经营异常名录881户，移出经营异常名录1164户；新增列入严重违法失信名单企业142户，撤销列入严重违法失信名单15户；信用风险分类修复12户，牵头归集联合奖惩案例10132例。围绕疫情防控工作，将监管执法重点聚焦制售假冒伪劣防疫物资、野生动物保护、囤积居奇、哄抬物价等违法行为，同时做好规范转供电、涉企收费、传销治理、煤炭专项治理、非法集资风险排查、环保督察反馈整改、扫黑除恶等重点工作。办结案件累计1623件,罚没款合计548.29万元。受理各类投诉举报19979件，办结18149件，办结率90.82%，为消费者挽回经济损失632.08万元。对95家转供电主体实施制裁，退费共计1181.18万元。</w:t>
      </w:r>
    </w:p>
    <w:p>
      <w:pPr>
        <w:snapToGrid w:val="0"/>
        <w:spacing w:line="560" w:lineRule="exact"/>
        <w:ind w:firstLine="645"/>
        <w:contextualSpacing/>
        <w:jc w:val="left"/>
        <w:rPr>
          <w:rFonts w:ascii="黑体" w:hAnsi="黑体" w:eastAsia="黑体"/>
          <w:sz w:val="32"/>
          <w:szCs w:val="32"/>
        </w:rPr>
      </w:pPr>
      <w:r>
        <w:rPr>
          <w:rFonts w:hint="eastAsia" w:ascii="黑体" w:hAnsi="黑体" w:eastAsia="黑体"/>
          <w:sz w:val="32"/>
          <w:szCs w:val="32"/>
        </w:rPr>
        <w:t>四、着力打好各项攻坚战，推动安全保障水平取得显著提升</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一是部署食品安全监管攻坚行动</w:t>
      </w:r>
      <w:r>
        <w:rPr>
          <w:rFonts w:hint="eastAsia" w:ascii="仿宋_GB2312" w:hAnsi="仿宋_GB2312" w:eastAsia="仿宋_GB2312" w:cs="仿宋_GB2312"/>
          <w:bCs/>
          <w:kern w:val="0"/>
          <w:sz w:val="32"/>
          <w:szCs w:val="32"/>
        </w:rPr>
        <w:t>。严格落实“四个最严”要求，以落实生产经营主体责任为主线，以“食品安全综合监管平台”为依托，以隐患排查、动态监管、清理整顿、严格执法为手段，对生产企业实现全覆盖，全面推行食品销售环节“五查五看一公示”，餐饮服务环节的“十严查”，用疾风厉势推动食品安全监管领域治乱出清，累计发现问题890个，责令整改875个，立案查处15件。上半年，完成199家食品生产企业风险分级管理。开展食品经营环节风险评级工作。完成199家食品生产企业风险分级管理。开展食品经营环节风险评级工作。明厨亮灶完成覆盖率已达到99%。完成2家追溯系统建设食品生产企业食品安全信息化追溯体系建设。部署开展特殊食品经营环节、食品生产环节、畜禽产品、、“菜篮子”稳产保供、校园及其周边“五毛食品”、预包装速冻调制食品、网络餐饮服务等专项治理行动。开展你点我检免费检测服务，为31家重点粮油生产企业提供专人帮扶，提供免费检验服务200次。完成“米袋子”“菜篮子”重点食品25个品种、229个项目专项监督抽检，共计50批次，检验结果全部合格。完成137批次学校食品安全抽检监测。发现问题食品1批次。完成学校集体用餐配送单位盒饭风险监测222批次。部署滨海新区20项民心工程5000批次食用农产品监督抽检工作。高效处置百味粥坊、宜必思酒店、倍氨敏等食品安全突发事件。</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二是部署药品医疗器械安全监管攻坚行动。</w:t>
      </w:r>
      <w:r>
        <w:rPr>
          <w:rFonts w:hint="eastAsia" w:ascii="仿宋_GB2312" w:hAnsi="仿宋_GB2312" w:eastAsia="仿宋_GB2312" w:cs="仿宋_GB2312"/>
          <w:bCs/>
          <w:kern w:val="0"/>
          <w:sz w:val="32"/>
          <w:szCs w:val="32"/>
        </w:rPr>
        <w:t>深化药品零售企业量化分级管理及放心药店创建，共评定252家，其中A级放心药店18家。开展药品零售单店远程药事服务试点工作。加强对药械经营、使用单位的监管检查，发现存在违法违规问题药店53家，责令停业整顿12家，依法整改41家。开展非法收售药品、第二类精神药品经营、药用野生动物、</w:t>
      </w:r>
      <w:r>
        <w:rPr>
          <w:rFonts w:ascii="仿宋_GB2312" w:hAnsi="仿宋_GB2312" w:eastAsia="仿宋_GB2312" w:cs="仿宋_GB2312"/>
          <w:bCs/>
          <w:kern w:val="0"/>
          <w:sz w:val="32"/>
          <w:szCs w:val="32"/>
        </w:rPr>
        <w:t>无菌和植入性医疗器械</w:t>
      </w:r>
      <w:r>
        <w:rPr>
          <w:rFonts w:hint="eastAsia" w:ascii="仿宋_GB2312" w:hAnsi="仿宋_GB2312" w:eastAsia="仿宋_GB2312" w:cs="仿宋_GB2312"/>
          <w:bCs/>
          <w:kern w:val="0"/>
          <w:sz w:val="32"/>
          <w:szCs w:val="32"/>
        </w:rPr>
        <w:t>等专项</w:t>
      </w:r>
      <w:r>
        <w:rPr>
          <w:rFonts w:ascii="仿宋_GB2312" w:hAnsi="仿宋_GB2312" w:eastAsia="仿宋_GB2312" w:cs="仿宋_GB2312"/>
          <w:bCs/>
          <w:kern w:val="0"/>
          <w:sz w:val="32"/>
          <w:szCs w:val="32"/>
        </w:rPr>
        <w:t>检查</w:t>
      </w:r>
      <w:r>
        <w:rPr>
          <w:rFonts w:hint="eastAsia" w:ascii="仿宋_GB2312" w:hAnsi="仿宋_GB2312" w:eastAsia="仿宋_GB2312" w:cs="仿宋_GB2312"/>
          <w:bCs/>
          <w:kern w:val="0"/>
          <w:sz w:val="32"/>
          <w:szCs w:val="32"/>
        </w:rPr>
        <w:t>。加强药品零售、使用环节的监管，严查医疗机构和药店从非法渠道购销药品行为、规范中药饮片市场秩序、全面落实中选药品上市许可持有人的质量主体责任和质量保证能力、排查可能存在的第二类精神药品流弊事件和案件、切实抓好野生动物保护工作。高效完成新区8批次医疗器械国抽任务。完成43批次的化妆品抽样和送检。做好不良反应、不良事件监测工作，收到药品不良反应病例报告171份，化妆品不良反应报告17份，医疗器械不良事件57份，已全部进行评价。</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三是开展特种设备安全生产事故隐患治理攻坚</w:t>
      </w:r>
      <w:r>
        <w:rPr>
          <w:rFonts w:hint="eastAsia" w:ascii="仿宋_GB2312" w:hAnsi="仿宋_GB2312" w:eastAsia="仿宋_GB2312" w:cs="仿宋_GB2312"/>
          <w:bCs/>
          <w:kern w:val="0"/>
          <w:sz w:val="32"/>
          <w:szCs w:val="32"/>
        </w:rPr>
        <w:t>。严查2019年特种设备隐患排查整治专项行动中存在突出问题较多的单位、使用特种设备的涉疫场所、复工复产单位、危险化学品企业、仓储物流企业、天津港区域、石油化工企业等重点行业、区域，突出“三落实、两有证、一检验、一预案”（落实管理机构、落实责任人员、落实各项管理制度；特种设备有使用登记证、作业人员有作业人员证；特种设备依法进行定期检验；制定应急预案并组织实施）。深入排查压力管道、压力容器、起重机械等特种设备安全隐患，检查企业1081家次，抽查设备2836台（套）；发出指令书48份，发现并整改安全问题330项。对电梯安全开展了一次全面彻底大起底、大清整，累计检查22421部，涉及电梯使用单位1862家，排查并整改问题和隐患共计473项。特别是对滨海国泰大厦A座在用的12部电梯集中开展安全运行专项治理，对162项安全隐患彻底治理，切实解决国泰大厦电梯隐患，得到各级领导的充分肯定和大力支持。</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四是坚决确保“创文”“创卫”“创城”三创成功。</w:t>
      </w:r>
      <w:r>
        <w:rPr>
          <w:rFonts w:hint="eastAsia" w:ascii="仿宋_GB2312" w:hAnsi="仿宋_GB2312" w:eastAsia="仿宋_GB2312" w:cs="仿宋_GB2312"/>
          <w:bCs/>
          <w:kern w:val="0"/>
          <w:sz w:val="32"/>
          <w:szCs w:val="32"/>
        </w:rPr>
        <w:t>统筹协调创建内容，制定年度创文、创城、创卫工作方案，列出任务清单，明确创建职责条线，明晰各属地部门管辖四至范围，逐级责任到人，建立健全领导包保责任制，划定创建责任网格。以各市场监管所学雷锋服务站为主阵地，积极开展创文“文明健康有你有我”公益广告宣传和创卫宣传，及时补齐学雷锋志愿服务站相关物品，保持消防设施、设备和等候一米线符合创文相关要求，规范窗口人员服装和礼仪、礼貌用语。组织干部职工1000余人次参加“文明交通劝导活动”和“爱国卫生运动滨海万人行动”。推动“三创”专项攻坚，确定八项攻坚内容，细化攻坚责任，明确阶段任务，积极推动局领导包保督查,推动属地部门认领《菜市场经营秩序攻坚行动责任台账》，积极对接商促局、公安局，开展菜市场联合检查。</w:t>
      </w:r>
    </w:p>
    <w:p>
      <w:pPr>
        <w:spacing w:line="680" w:lineRule="exact"/>
        <w:ind w:firstLine="640" w:firstLineChars="200"/>
        <w:rPr>
          <w:rFonts w:ascii="仿宋_GB2312" w:hAnsi="仿宋_GB2312" w:eastAsia="仿宋_GB2312" w:cs="仿宋_GB2312"/>
          <w:bCs/>
          <w:kern w:val="0"/>
          <w:sz w:val="32"/>
          <w:szCs w:val="32"/>
        </w:rPr>
      </w:pPr>
    </w:p>
    <w:p>
      <w:pPr>
        <w:spacing w:line="680" w:lineRule="exact"/>
        <w:ind w:firstLine="640" w:firstLineChars="200"/>
        <w:rPr>
          <w:rFonts w:ascii="仿宋_GB2312" w:hAnsi="仿宋_GB2312" w:eastAsia="仿宋_GB2312" w:cs="仿宋_GB2312"/>
          <w:bCs/>
          <w:kern w:val="0"/>
          <w:sz w:val="32"/>
          <w:szCs w:val="32"/>
        </w:rPr>
      </w:pPr>
    </w:p>
    <w:p>
      <w:pPr>
        <w:spacing w:line="680" w:lineRule="exact"/>
        <w:ind w:firstLine="640" w:firstLineChars="200"/>
        <w:rPr>
          <w:rFonts w:ascii="仿宋_GB2312" w:hAnsi="仿宋_GB2312" w:eastAsia="仿宋_GB2312" w:cs="仿宋_GB2312"/>
          <w:bCs/>
          <w:kern w:val="0"/>
          <w:sz w:val="32"/>
          <w:szCs w:val="32"/>
        </w:rPr>
      </w:pPr>
    </w:p>
    <w:p>
      <w:pPr>
        <w:spacing w:line="680" w:lineRule="exact"/>
        <w:ind w:firstLine="1100" w:firstLineChars="250"/>
        <w:rPr>
          <w:rFonts w:ascii="黑体" w:hAnsi="黑体" w:eastAsia="黑体"/>
          <w:sz w:val="44"/>
          <w:szCs w:val="44"/>
        </w:rPr>
      </w:pPr>
    </w:p>
    <w:p>
      <w:pPr>
        <w:spacing w:line="680" w:lineRule="exact"/>
        <w:ind w:firstLine="1100" w:firstLineChars="250"/>
        <w:rPr>
          <w:rFonts w:ascii="黑体" w:hAnsi="黑体" w:eastAsia="黑体"/>
          <w:sz w:val="44"/>
          <w:szCs w:val="44"/>
        </w:rPr>
      </w:pPr>
    </w:p>
    <w:p>
      <w:pPr>
        <w:spacing w:line="680" w:lineRule="exact"/>
        <w:ind w:firstLine="1100" w:firstLineChars="250"/>
        <w:rPr>
          <w:rFonts w:ascii="黑体" w:hAnsi="黑体" w:eastAsia="黑体"/>
          <w:sz w:val="44"/>
          <w:szCs w:val="44"/>
        </w:rPr>
      </w:pPr>
    </w:p>
    <w:p>
      <w:pPr>
        <w:spacing w:line="680" w:lineRule="exact"/>
        <w:ind w:firstLine="1100" w:firstLineChars="250"/>
        <w:rPr>
          <w:rFonts w:ascii="黑体" w:hAnsi="黑体" w:eastAsia="黑体"/>
          <w:sz w:val="44"/>
          <w:szCs w:val="44"/>
        </w:rPr>
      </w:pPr>
    </w:p>
    <w:p>
      <w:pPr>
        <w:snapToGrid w:val="0"/>
        <w:spacing w:line="560" w:lineRule="exact"/>
        <w:ind w:firstLine="645"/>
        <w:contextualSpacing/>
        <w:jc w:val="left"/>
        <w:rPr>
          <w:rFonts w:ascii="仿宋_GB2312" w:eastAsia="仿宋_GB2312"/>
          <w:sz w:val="32"/>
          <w:szCs w:val="52"/>
        </w:rPr>
      </w:pPr>
    </w:p>
    <w:p>
      <w:pPr>
        <w:snapToGrid w:val="0"/>
        <w:spacing w:line="560" w:lineRule="exact"/>
        <w:ind w:firstLine="645"/>
        <w:contextualSpacing/>
        <w:jc w:val="left"/>
        <w:rPr>
          <w:rFonts w:ascii="仿宋_GB2312" w:eastAsia="仿宋_GB2312"/>
          <w:sz w:val="32"/>
          <w:szCs w:val="52"/>
        </w:rPr>
      </w:pPr>
    </w:p>
    <w:p>
      <w:pPr>
        <w:snapToGrid w:val="0"/>
        <w:spacing w:line="560" w:lineRule="exact"/>
        <w:ind w:firstLine="645"/>
        <w:contextualSpacing/>
        <w:jc w:val="left"/>
        <w:rPr>
          <w:rFonts w:ascii="仿宋_GB2312" w:eastAsia="仿宋_GB2312"/>
          <w:sz w:val="32"/>
          <w:szCs w:val="52"/>
        </w:rPr>
      </w:pPr>
    </w:p>
    <w:p>
      <w:pPr>
        <w:spacing w:line="680" w:lineRule="exact"/>
        <w:ind w:firstLine="1100" w:firstLineChars="250"/>
        <w:rPr>
          <w:rFonts w:ascii="黑体" w:hAnsi="黑体" w:eastAsia="黑体"/>
          <w:sz w:val="44"/>
          <w:szCs w:val="44"/>
        </w:rPr>
      </w:pPr>
    </w:p>
    <w:p>
      <w:pPr>
        <w:spacing w:line="680" w:lineRule="exact"/>
        <w:ind w:firstLine="1100" w:firstLineChars="250"/>
        <w:rPr>
          <w:rFonts w:ascii="黑体" w:hAnsi="黑体" w:eastAsia="黑体"/>
          <w:sz w:val="44"/>
          <w:szCs w:val="4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9514911"/>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00000000"/>
    <w:rsid w:val="07E5353B"/>
    <w:rsid w:val="28627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autoRedefine/>
    <w:semiHidden/>
    <w:qFormat/>
    <w:uiPriority w:val="99"/>
    <w:rPr>
      <w:rFonts w:ascii="Calibri" w:hAnsi="Calibri" w:eastAsia="宋体" w:cs="Times New Roman"/>
      <w:sz w:val="18"/>
      <w:szCs w:val="18"/>
    </w:rPr>
  </w:style>
  <w:style w:type="character" w:customStyle="1" w:styleId="8">
    <w:name w:val="页眉 Char"/>
    <w:basedOn w:val="6"/>
    <w:link w:val="4"/>
    <w:autoRedefine/>
    <w:qFormat/>
    <w:uiPriority w:val="99"/>
    <w:rPr>
      <w:rFonts w:ascii="Calibri" w:hAnsi="Calibri" w:eastAsia="宋体" w:cs="Times New Roman"/>
      <w:sz w:val="18"/>
      <w:szCs w:val="18"/>
    </w:rPr>
  </w:style>
  <w:style w:type="character" w:customStyle="1" w:styleId="9">
    <w:name w:val="页脚 Char"/>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937</Words>
  <Characters>5345</Characters>
  <Lines>44</Lines>
  <Paragraphs>12</Paragraphs>
  <TotalTime>84</TotalTime>
  <ScaleCrop>false</ScaleCrop>
  <LinksUpToDate>false</LinksUpToDate>
  <CharactersWithSpaces>6270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2020-08-19T08:01:00Z</dcterms:created>
  <dc:creator>修晓文</dc:creator>
  <cp:lastModifiedBy>小风筝_薇</cp:lastModifiedBy>
  <dcterms:modified xsi:type="dcterms:W3CDTF">2024-04-01T06:44:16Z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23DD2C3F75394D078ECD38D974D7452B_12</vt:lpwstr>
  </property>
</Properties>
</file>