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1" w:rsidRDefault="00A3495D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天津市滨海新区“4</w:t>
      </w:r>
      <w:r w:rsidR="00384585" w:rsidRPr="00384585">
        <w:rPr>
          <w:rFonts w:ascii="宋体" w:hAnsi="宋体" w:cs="宋体" w:hint="eastAsia"/>
          <w:bCs/>
          <w:kern w:val="0"/>
          <w:sz w:val="44"/>
          <w:szCs w:val="44"/>
        </w:rPr>
        <w:t>•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30”</w:t>
      </w:r>
    </w:p>
    <w:p w:rsidR="00817DF1" w:rsidRDefault="00A3495D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一般叉车碰撞事故结案评估报告</w:t>
      </w:r>
    </w:p>
    <w:p w:rsidR="00817DF1" w:rsidRDefault="00817DF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17DF1" w:rsidRDefault="00A3495D" w:rsidP="0041301F">
      <w:pPr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2021年4月30日10时40分左右，坐落于天津市滨海新区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新港街吉运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五道345号的盛通永久（天津）物流有限公司院内，发生一起叉车碰撞事故，致一人死亡。</w:t>
      </w:r>
    </w:p>
    <w:p w:rsidR="00817DF1" w:rsidRDefault="00A3495D" w:rsidP="0041301F">
      <w:pPr>
        <w:spacing w:line="6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依据《中华人民共和国安全生产法》《中华人民共和国特种设备安全法》《特种设备安全监察条例》《特种设备事故报告和调查处理导则》等有关法律、法规规定，经报请滨海新区人民政府批准，成立了由区市场监管局、区应急管理局、区公安局、区总工会等部门组成的天津市滨海新区“4</w:t>
      </w:r>
      <w:r w:rsidR="00384585" w:rsidRPr="00384585">
        <w:rPr>
          <w:rFonts w:ascii="宋体" w:hAnsi="宋体" w:cs="宋体" w:hint="eastAsia"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30”一般叉车碰撞事故调查组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，组织开展事故调查工作，并完成《天津市滨海新区“4</w:t>
      </w:r>
      <w:r w:rsidR="00384585" w:rsidRPr="00384585">
        <w:rPr>
          <w:rFonts w:ascii="宋体" w:hAnsi="宋体" w:cs="宋体" w:hint="eastAsia"/>
          <w:bCs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30”一般叉车碰撞事故调查报告》（简称《事故调查报告》）。2021年7月19日，《事故调查报告》经天津市滨海新区人民政府批复同意。</w:t>
      </w:r>
    </w:p>
    <w:p w:rsidR="00817DF1" w:rsidRDefault="00A3495D" w:rsidP="0041301F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按照《天津市生产安全事故暴露问题整改督办制度(试行)》 及《天津市滨海新区生产安全事故结案评估办法(暂行)》等关于事故结案评估的有关规定,区市场监管局成立了天津市滨海新区“4</w:t>
      </w:r>
      <w:r w:rsidR="00384585" w:rsidRPr="00384585">
        <w:rPr>
          <w:rFonts w:ascii="宋体" w:hAnsi="宋体" w:cs="宋体" w:hint="eastAsia"/>
          <w:bCs/>
          <w:kern w:val="0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30”一般叉车碰撞事故结案评估组,对事故责任单位、责任人责任追究落实情况、整改措施落实情况进行了评估。</w:t>
      </w:r>
    </w:p>
    <w:p w:rsidR="00817DF1" w:rsidRDefault="00A3495D" w:rsidP="0041301F">
      <w:pPr>
        <w:spacing w:line="620" w:lineRule="exact"/>
        <w:ind w:firstLineChars="200" w:firstLine="643"/>
        <w:rPr>
          <w:rFonts w:ascii="黑体" w:eastAsia="黑体" w:hAnsi="黑体" w:cs="仿宋_GB2312"/>
          <w:b/>
          <w:bCs/>
          <w:sz w:val="32"/>
          <w:szCs w:val="24"/>
        </w:rPr>
      </w:pPr>
      <w:r>
        <w:rPr>
          <w:rFonts w:ascii="黑体" w:eastAsia="黑体" w:hAnsi="黑体" w:cs="仿宋_GB2312" w:hint="eastAsia"/>
          <w:b/>
          <w:bCs/>
          <w:sz w:val="32"/>
          <w:szCs w:val="24"/>
        </w:rPr>
        <w:t>一、事故责任单位追究落实情况</w:t>
      </w:r>
    </w:p>
    <w:p w:rsidR="00817DF1" w:rsidRDefault="00A3495D" w:rsidP="0041301F">
      <w:pPr>
        <w:spacing w:line="62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lastRenderedPageBreak/>
        <w:t>《事故调查报告》建议天津市滨海新区市场监督管理局依据《中华人民共和国特种设备安全法》第九十条第（一）项之规定，</w:t>
      </w: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对盛通永久（天津）物流有限公司进行行政处罚。</w:t>
      </w:r>
    </w:p>
    <w:p w:rsidR="00817DF1" w:rsidRDefault="00A3495D" w:rsidP="0041301F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评估情况:</w:t>
      </w:r>
      <w:r>
        <w:rPr>
          <w:rFonts w:ascii="仿宋_GB2312" w:eastAsia="仿宋_GB2312" w:hAnsi="仿宋_GB2312" w:cs="仿宋_GB2312" w:hint="eastAsia"/>
          <w:sz w:val="32"/>
          <w:szCs w:val="24"/>
        </w:rPr>
        <w:t>区市场监管局已依据《中华人民共和国特种设备安全法》的相关规定,对盛通永久（天津）物流有限公司处以二十万元人民币的罚款,上述处罚已下达行政处罚决定书,罚款全部执行完毕，并于2021年12月10日结案。</w:t>
      </w:r>
    </w:p>
    <w:p w:rsidR="00817DF1" w:rsidRDefault="00A3495D" w:rsidP="0041301F">
      <w:pPr>
        <w:spacing w:line="620" w:lineRule="exact"/>
        <w:ind w:firstLineChars="200" w:firstLine="643"/>
        <w:rPr>
          <w:rFonts w:ascii="黑体" w:eastAsia="黑体" w:hAnsi="黑体" w:cs="黑体"/>
          <w:b/>
          <w:bCs/>
          <w:sz w:val="32"/>
          <w:szCs w:val="24"/>
        </w:rPr>
      </w:pPr>
      <w:r>
        <w:rPr>
          <w:rFonts w:ascii="黑体" w:eastAsia="黑体" w:hAnsi="黑体" w:cs="黑体" w:hint="eastAsia"/>
          <w:b/>
          <w:bCs/>
          <w:sz w:val="32"/>
          <w:szCs w:val="24"/>
        </w:rPr>
        <w:t>二、事故责任人追究落实情况</w:t>
      </w:r>
    </w:p>
    <w:p w:rsidR="00817DF1" w:rsidRDefault="00A3495D" w:rsidP="0041301F">
      <w:pPr>
        <w:spacing w:line="620" w:lineRule="exact"/>
        <w:ind w:firstLineChars="200" w:firstLine="640"/>
        <w:rPr>
          <w:rFonts w:ascii="楷体_GB2312" w:eastAsia="楷体_GB2312" w:hAnsi="仿宋_GB2312" w:cs="仿宋_GB2312"/>
          <w:sz w:val="32"/>
          <w:szCs w:val="24"/>
        </w:rPr>
      </w:pPr>
      <w:r>
        <w:rPr>
          <w:rFonts w:ascii="楷体_GB2312" w:eastAsia="楷体_GB2312" w:hAnsi="仿宋_GB2312" w:cs="仿宋_GB2312" w:hint="eastAsia"/>
          <w:sz w:val="32"/>
          <w:szCs w:val="24"/>
        </w:rPr>
        <w:t>(</w:t>
      </w:r>
      <w:proofErr w:type="gramStart"/>
      <w:r>
        <w:rPr>
          <w:rFonts w:ascii="楷体_GB2312" w:eastAsia="楷体_GB2312" w:hAnsi="仿宋_GB2312" w:cs="仿宋_GB2312" w:hint="eastAsia"/>
          <w:sz w:val="32"/>
          <w:szCs w:val="24"/>
        </w:rPr>
        <w:t>一</w:t>
      </w:r>
      <w:proofErr w:type="gramEnd"/>
      <w:r>
        <w:rPr>
          <w:rFonts w:ascii="楷体_GB2312" w:eastAsia="楷体_GB2312" w:hAnsi="仿宋_GB2312" w:cs="仿宋_GB2312" w:hint="eastAsia"/>
          <w:sz w:val="32"/>
          <w:szCs w:val="24"/>
        </w:rPr>
        <w:t>)宫爱国</w:t>
      </w:r>
    </w:p>
    <w:p w:rsidR="00817DF1" w:rsidRDefault="00A3495D" w:rsidP="0041301F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《事故调查报告》建议由天津市滨海新区市场监督管理局依据《中华人民共和国特种设备安全法》第九十一条第（一）项之规定，</w:t>
      </w: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对盛通永久（天津）物流有限公司主要负责人宫爱国进行行政处罚。</w:t>
      </w:r>
    </w:p>
    <w:p w:rsidR="00817DF1" w:rsidRDefault="00A3495D" w:rsidP="0041301F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评估情况:</w:t>
      </w:r>
      <w:r>
        <w:rPr>
          <w:rFonts w:ascii="仿宋_GB2312" w:eastAsia="仿宋_GB2312" w:hAnsi="仿宋_GB2312" w:cs="仿宋_GB2312" w:hint="eastAsia"/>
          <w:sz w:val="32"/>
          <w:szCs w:val="24"/>
        </w:rPr>
        <w:t xml:space="preserve"> 区市场监管局已依据《中华人民共和国特种设备安全法》的相关规定,对盛通永久（天津）物流有限公司主要负责人宫爱国处以2020年年收入百分之三十（7200元人民币）的罚款,上述处罚已下达行政处罚决定书,罚款全部执行完毕，并于2021年12月10日结案。</w:t>
      </w:r>
    </w:p>
    <w:p w:rsidR="00817DF1" w:rsidRDefault="00A3495D" w:rsidP="0041301F">
      <w:pPr>
        <w:spacing w:line="620" w:lineRule="exact"/>
        <w:ind w:firstLineChars="200" w:firstLine="640"/>
        <w:rPr>
          <w:rFonts w:ascii="楷体_GB2312" w:eastAsia="楷体_GB2312" w:hAnsi="仿宋_GB2312" w:cs="仿宋_GB2312"/>
          <w:sz w:val="32"/>
          <w:szCs w:val="24"/>
        </w:rPr>
      </w:pPr>
      <w:r>
        <w:rPr>
          <w:rFonts w:ascii="楷体_GB2312" w:eastAsia="楷体_GB2312" w:hAnsi="仿宋_GB2312" w:cs="仿宋_GB2312" w:hint="eastAsia"/>
          <w:sz w:val="32"/>
          <w:szCs w:val="24"/>
        </w:rPr>
        <w:t>(二)武洪祥</w:t>
      </w:r>
    </w:p>
    <w:p w:rsidR="00817DF1" w:rsidRDefault="00A3495D" w:rsidP="0041301F">
      <w:pPr>
        <w:spacing w:line="62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《事故调查报告》建议由天津市滨海新区公安局</w:t>
      </w: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对盛通永久（天津）物流有限公司叉车司机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武洪祥</w:t>
      </w: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调查处理。</w:t>
      </w:r>
    </w:p>
    <w:p w:rsidR="00817DF1" w:rsidRDefault="00A3495D" w:rsidP="0041301F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评估情况：</w:t>
      </w:r>
      <w:r>
        <w:rPr>
          <w:rFonts w:ascii="仿宋_GB2312" w:eastAsia="仿宋_GB2312" w:hAnsi="仿宋_GB2312" w:cs="仿宋_GB2312" w:hint="eastAsia"/>
          <w:sz w:val="32"/>
          <w:szCs w:val="24"/>
        </w:rPr>
        <w:t>天津市滨海新区人民检察院于2022年3月</w:t>
      </w:r>
      <w:r>
        <w:rPr>
          <w:rFonts w:ascii="仿宋_GB2312" w:eastAsia="仿宋_GB2312" w:hAnsi="仿宋_GB2312" w:cs="仿宋_GB2312" w:hint="eastAsia"/>
          <w:sz w:val="32"/>
          <w:szCs w:val="24"/>
        </w:rPr>
        <w:lastRenderedPageBreak/>
        <w:t>10日下达《武洪祥重大责任事故一审刑事判决书》，</w:t>
      </w:r>
      <w:proofErr w:type="gramStart"/>
      <w:r w:rsidR="00384585">
        <w:rPr>
          <w:rFonts w:ascii="仿宋_GB2312" w:eastAsia="仿宋_GB2312" w:hAnsi="仿宋_GB2312" w:cs="仿宋_GB2312" w:hint="eastAsia"/>
          <w:sz w:val="32"/>
          <w:szCs w:val="24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24"/>
        </w:rPr>
        <w:t>判决：“一、被告人武洪祥犯重大责任事故罪，判处有期徒刑十个月，缓刑一年；二、对被告人武洪祥，在缓刑考验期限内，依法实行社区矫正”。目前武洪祥正在执行法院判决。</w:t>
      </w:r>
    </w:p>
    <w:p w:rsidR="00817DF1" w:rsidRDefault="00A3495D" w:rsidP="0041301F">
      <w:pPr>
        <w:spacing w:line="620" w:lineRule="exact"/>
        <w:ind w:firstLineChars="200" w:firstLine="640"/>
        <w:rPr>
          <w:rFonts w:ascii="楷体_GB2312" w:eastAsia="楷体_GB2312" w:hAnsi="仿宋_GB2312" w:cs="仿宋_GB2312"/>
          <w:sz w:val="32"/>
          <w:szCs w:val="24"/>
        </w:rPr>
      </w:pPr>
      <w:r>
        <w:rPr>
          <w:rFonts w:ascii="楷体_GB2312" w:eastAsia="楷体_GB2312" w:hAnsi="仿宋_GB2312" w:cs="仿宋_GB2312" w:hint="eastAsia"/>
          <w:sz w:val="32"/>
          <w:szCs w:val="24"/>
        </w:rPr>
        <w:t>（三）刘志会</w:t>
      </w:r>
    </w:p>
    <w:p w:rsidR="00817DF1" w:rsidRDefault="00A3495D" w:rsidP="0041301F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《事故调查报告》建议盛通永久（天津）物流有限公司对</w:t>
      </w:r>
      <w:r>
        <w:rPr>
          <w:rFonts w:ascii="仿宋_GB2312" w:eastAsia="仿宋_GB2312" w:hAnsi="仿宋_GB2312" w:cs="仿宋_GB2312" w:hint="eastAsia"/>
          <w:sz w:val="32"/>
          <w:szCs w:val="32"/>
        </w:rPr>
        <w:t>安技部经理刘志会</w:t>
      </w:r>
      <w:r>
        <w:rPr>
          <w:rFonts w:ascii="仿宋_GB2312" w:eastAsia="仿宋_GB2312" w:hAnsi="仿宋_GB2312" w:cs="仿宋_GB2312" w:hint="eastAsia"/>
          <w:sz w:val="32"/>
          <w:szCs w:val="24"/>
        </w:rPr>
        <w:t>按照公司相关规定给予处罚，并将处理结果报区市场监管局备案。</w:t>
      </w:r>
    </w:p>
    <w:p w:rsidR="00817DF1" w:rsidRDefault="00A3495D" w:rsidP="0041301F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评估情况：</w:t>
      </w:r>
      <w:r>
        <w:rPr>
          <w:rFonts w:ascii="仿宋_GB2312" w:eastAsia="仿宋_GB2312" w:hAnsi="仿宋_GB2312" w:cs="仿宋_GB2312" w:hint="eastAsia"/>
          <w:sz w:val="32"/>
          <w:szCs w:val="24"/>
        </w:rPr>
        <w:t>盛通永久（天津）物流有限公司对刘志会的违法行为做出了严肃处理，罚款5000元人民币，已将处理结果报区市场监管局备案。</w:t>
      </w:r>
    </w:p>
    <w:p w:rsidR="00817DF1" w:rsidRDefault="00A3495D" w:rsidP="0041301F">
      <w:pPr>
        <w:pStyle w:val="2"/>
        <w:numPr>
          <w:ilvl w:val="0"/>
          <w:numId w:val="1"/>
        </w:numPr>
        <w:spacing w:line="620" w:lineRule="exact"/>
        <w:ind w:leftChars="0" w:left="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陈太林</w:t>
      </w:r>
    </w:p>
    <w:p w:rsidR="00817DF1" w:rsidRDefault="00A3495D" w:rsidP="0041301F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《事故调查报告》建议盛通永久（天津）物流有限公司对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操作部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经理陈太林</w:t>
      </w:r>
      <w:r>
        <w:rPr>
          <w:rFonts w:ascii="仿宋_GB2312" w:eastAsia="仿宋_GB2312" w:hAnsi="仿宋_GB2312" w:cs="仿宋_GB2312" w:hint="eastAsia"/>
          <w:sz w:val="32"/>
          <w:szCs w:val="24"/>
        </w:rPr>
        <w:t>按照公司相关规定给予处罚，并将处理结果报区市场监管局备案。</w:t>
      </w:r>
    </w:p>
    <w:p w:rsidR="00817DF1" w:rsidRDefault="00A3495D" w:rsidP="0041301F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评估情况：</w:t>
      </w:r>
      <w:r>
        <w:rPr>
          <w:rFonts w:ascii="仿宋_GB2312" w:eastAsia="仿宋_GB2312" w:hAnsi="仿宋_GB2312" w:cs="仿宋_GB2312" w:hint="eastAsia"/>
          <w:sz w:val="32"/>
          <w:szCs w:val="24"/>
        </w:rPr>
        <w:t>盛通永久（天津）物流有限公司对陈太林的违法行为做出了严肃处理，罚款5000元人民币，已将处理结果报区市场监管局备案。</w:t>
      </w:r>
    </w:p>
    <w:p w:rsidR="00817DF1" w:rsidRDefault="00817DF1" w:rsidP="0041301F">
      <w:pPr>
        <w:pStyle w:val="2"/>
        <w:spacing w:line="620" w:lineRule="exact"/>
      </w:pPr>
    </w:p>
    <w:p w:rsidR="00817DF1" w:rsidRDefault="00817DF1" w:rsidP="0041301F">
      <w:pPr>
        <w:pStyle w:val="2"/>
        <w:spacing w:line="620" w:lineRule="exact"/>
        <w:ind w:leftChars="0" w:left="0" w:firstLineChars="0" w:firstLine="0"/>
        <w:rPr>
          <w:rFonts w:ascii="仿宋_GB2312" w:eastAsia="仿宋_GB2312" w:hAnsi="仿宋_GB2312" w:cs="仿宋_GB2312"/>
          <w:sz w:val="32"/>
          <w:szCs w:val="24"/>
        </w:rPr>
      </w:pPr>
    </w:p>
    <w:p w:rsidR="00817DF1" w:rsidRDefault="00A3495D" w:rsidP="0041301F">
      <w:pPr>
        <w:spacing w:line="620" w:lineRule="exact"/>
        <w:ind w:firstLineChars="200" w:firstLine="643"/>
        <w:rPr>
          <w:rFonts w:ascii="黑体" w:eastAsia="黑体" w:hAnsi="黑体" w:cs="仿宋_GB2312"/>
          <w:b/>
          <w:bCs/>
          <w:sz w:val="32"/>
          <w:szCs w:val="24"/>
        </w:rPr>
      </w:pPr>
      <w:r>
        <w:rPr>
          <w:rFonts w:ascii="黑体" w:eastAsia="黑体" w:hAnsi="黑体" w:cs="仿宋_GB2312" w:hint="eastAsia"/>
          <w:b/>
          <w:bCs/>
          <w:sz w:val="32"/>
          <w:szCs w:val="24"/>
        </w:rPr>
        <w:t>三、事故防范整改措施落实情况</w:t>
      </w:r>
    </w:p>
    <w:p w:rsidR="00817DF1" w:rsidRDefault="00A3495D" w:rsidP="0041301F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《事故调查报告》要求盛通永久（天津）物流有限公司</w:t>
      </w:r>
      <w:r>
        <w:rPr>
          <w:rFonts w:ascii="仿宋_GB2312" w:eastAsia="仿宋_GB2312" w:hAnsi="仿宋_GB2312" w:cs="仿宋_GB2312" w:hint="eastAsia"/>
          <w:sz w:val="32"/>
          <w:szCs w:val="24"/>
        </w:rPr>
        <w:lastRenderedPageBreak/>
        <w:t>强化安全生产红线意识，深刻吸取事故教训，牢固树立安全生产发展理念，深入、系统地学习和贯彻落实《中华人民共和国安全生产法》《中华人民共和国特种设备安全法》等法律法规，举一反三，全面落实企业安全生产主体责任，认真做好各项安全生产工作；加强作业区域标识管理。结合公司安全生产工作实际，健全人机隔离设施，防范人机交叉作业风险；建立健全教育培训机制。培训教育有针对性，丰富员工培训载体，拓宽培训渠道，加大培训宣贯力度，提高培训质量和效果，单位加强风险管控，隐患排查整治，消除安全隐患；制定完善本单位应急预案，严格落实特种设备专项应急演练工作，加强现场应急演练，提高单位应急处置能力和水平。</w:t>
      </w:r>
    </w:p>
    <w:p w:rsidR="00817DF1" w:rsidRDefault="00A3495D" w:rsidP="0041301F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24"/>
        </w:rPr>
        <w:t>评估情况:</w:t>
      </w:r>
      <w:r>
        <w:rPr>
          <w:rFonts w:ascii="仿宋_GB2312" w:eastAsia="仿宋_GB2312" w:hAnsi="仿宋_GB2312" w:cs="仿宋_GB2312" w:hint="eastAsia"/>
          <w:sz w:val="32"/>
          <w:szCs w:val="24"/>
        </w:rPr>
        <w:t>事故发生后，盛通永久（天津）物流有限公司高度重视，深刻认识到自身生产中存在的问题，相应责任人受到了行政处罚及公司内部的处理。该单位全体员工深刻吸取了事故教训，系统地学习了相关法律法规，提高了安全生产主体责任意识；经现场检查，该单位重新规划了作业区域，设置了叉车安全风险点告知牌，对人行通道重新划线，现场加装了警示隔离装置，基本实现人机分离作业；该单位重新完善新员工入场三级安全教育培训机制，修订了安全教育培训宣讲教材，通过播放安全生产事故警示教育视频、邀请专家现场讲座、安技部负责人组织讨论活动等多种形式进</w:t>
      </w:r>
      <w:r>
        <w:rPr>
          <w:rFonts w:ascii="仿宋_GB2312" w:eastAsia="仿宋_GB2312" w:hAnsi="仿宋_GB2312" w:cs="仿宋_GB2312" w:hint="eastAsia"/>
          <w:sz w:val="32"/>
          <w:szCs w:val="24"/>
        </w:rPr>
        <w:lastRenderedPageBreak/>
        <w:t>行安全教育培训，提高了安全教育培训的质量和效果；该单位对作业场所进行危险源辨识和风险管控，成立了以单位负责人为组长的安全监督检查组，加强对公司的日常安全巡查工作，对本单位的安全隐患及时排查处理；该单位结合其安全生产实际情况，修订完善了《突发事故应急处置预案》，定期组织员工进行事故应急演练，提升了单位面对突发事故时的应急处置能力和水平。</w:t>
      </w:r>
    </w:p>
    <w:p w:rsidR="00817DF1" w:rsidRDefault="00817DF1" w:rsidP="0041301F">
      <w:pPr>
        <w:pStyle w:val="2"/>
        <w:spacing w:line="620" w:lineRule="exact"/>
        <w:ind w:firstLine="640"/>
        <w:rPr>
          <w:rFonts w:ascii="仿宋_GB2312" w:eastAsia="仿宋_GB2312" w:hAnsi="仿宋_GB2312" w:cs="仿宋_GB2312"/>
          <w:sz w:val="32"/>
          <w:szCs w:val="24"/>
        </w:rPr>
      </w:pPr>
    </w:p>
    <w:p w:rsidR="00817DF1" w:rsidRDefault="00817DF1" w:rsidP="0041301F">
      <w:pPr>
        <w:pStyle w:val="2"/>
        <w:spacing w:line="620" w:lineRule="exact"/>
        <w:ind w:firstLine="640"/>
        <w:rPr>
          <w:rFonts w:ascii="仿宋_GB2312" w:eastAsia="仿宋_GB2312"/>
          <w:sz w:val="32"/>
          <w:szCs w:val="32"/>
        </w:rPr>
      </w:pPr>
    </w:p>
    <w:p w:rsidR="00817DF1" w:rsidRDefault="00817DF1" w:rsidP="0041301F">
      <w:pPr>
        <w:pStyle w:val="2"/>
        <w:spacing w:line="620" w:lineRule="exact"/>
        <w:ind w:firstLine="640"/>
        <w:rPr>
          <w:rFonts w:ascii="仿宋_GB2312" w:eastAsia="仿宋_GB2312"/>
          <w:sz w:val="32"/>
          <w:szCs w:val="32"/>
        </w:rPr>
      </w:pPr>
    </w:p>
    <w:p w:rsidR="00817DF1" w:rsidRDefault="00384585" w:rsidP="00384585">
      <w:pPr>
        <w:pStyle w:val="2"/>
        <w:spacing w:line="620" w:lineRule="exact"/>
        <w:ind w:firstLineChars="1381" w:firstLine="441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事故</w:t>
      </w:r>
      <w:r w:rsidR="00A3495D">
        <w:rPr>
          <w:rFonts w:ascii="仿宋_GB2312" w:eastAsia="仿宋_GB2312" w:hint="eastAsia"/>
          <w:sz w:val="32"/>
          <w:szCs w:val="32"/>
        </w:rPr>
        <w:t>结案评估组</w:t>
      </w:r>
    </w:p>
    <w:p w:rsidR="00817DF1" w:rsidRDefault="004555C3" w:rsidP="0041301F">
      <w:pPr>
        <w:pStyle w:val="2"/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A3495D">
        <w:rPr>
          <w:rFonts w:ascii="仿宋_GB2312" w:eastAsia="仿宋_GB2312" w:hint="eastAsia"/>
          <w:sz w:val="32"/>
          <w:szCs w:val="32"/>
        </w:rPr>
        <w:t>2022年9月22日</w:t>
      </w:r>
    </w:p>
    <w:p w:rsidR="00817DF1" w:rsidRDefault="00A3495D">
      <w:pPr>
        <w:pStyle w:val="2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817DF1" w:rsidRDefault="00817DF1">
      <w:pPr>
        <w:adjustRightInd w:val="0"/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817DF1" w:rsidRDefault="00817DF1"/>
    <w:sectPr w:rsidR="00817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E9" w:rsidRDefault="00C30DE9" w:rsidP="0041301F">
      <w:r>
        <w:separator/>
      </w:r>
    </w:p>
  </w:endnote>
  <w:endnote w:type="continuationSeparator" w:id="0">
    <w:p w:rsidR="00C30DE9" w:rsidRDefault="00C30DE9" w:rsidP="0041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E9" w:rsidRDefault="00C30DE9" w:rsidP="0041301F">
      <w:r>
        <w:separator/>
      </w:r>
    </w:p>
  </w:footnote>
  <w:footnote w:type="continuationSeparator" w:id="0">
    <w:p w:rsidR="00C30DE9" w:rsidRDefault="00C30DE9" w:rsidP="0041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3F21"/>
    <w:multiLevelType w:val="singleLevel"/>
    <w:tmpl w:val="0A7A3F2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Y2YxNTI4OTRhNDlkMGI5MmJjYzk5NGNkN2FiNjYifQ=="/>
  </w:docVars>
  <w:rsids>
    <w:rsidRoot w:val="001F01CB"/>
    <w:rsid w:val="0003476D"/>
    <w:rsid w:val="000449F4"/>
    <w:rsid w:val="000A1734"/>
    <w:rsid w:val="000B3E8C"/>
    <w:rsid w:val="000C772C"/>
    <w:rsid w:val="001063BE"/>
    <w:rsid w:val="00122F8F"/>
    <w:rsid w:val="001252FC"/>
    <w:rsid w:val="0013219B"/>
    <w:rsid w:val="0013693A"/>
    <w:rsid w:val="00153BE8"/>
    <w:rsid w:val="001B6FD4"/>
    <w:rsid w:val="001C2724"/>
    <w:rsid w:val="001E31BD"/>
    <w:rsid w:val="001F01CB"/>
    <w:rsid w:val="001F3120"/>
    <w:rsid w:val="00205D49"/>
    <w:rsid w:val="00256E8A"/>
    <w:rsid w:val="002825E0"/>
    <w:rsid w:val="002B2DE3"/>
    <w:rsid w:val="002C337A"/>
    <w:rsid w:val="002F13DF"/>
    <w:rsid w:val="00304239"/>
    <w:rsid w:val="00304FDC"/>
    <w:rsid w:val="00310F7E"/>
    <w:rsid w:val="00360FE3"/>
    <w:rsid w:val="00361BCC"/>
    <w:rsid w:val="00384585"/>
    <w:rsid w:val="0039003D"/>
    <w:rsid w:val="003A4B6B"/>
    <w:rsid w:val="003A6972"/>
    <w:rsid w:val="003C0CB9"/>
    <w:rsid w:val="003E6735"/>
    <w:rsid w:val="0041301F"/>
    <w:rsid w:val="00416410"/>
    <w:rsid w:val="00416B4E"/>
    <w:rsid w:val="004264F6"/>
    <w:rsid w:val="004379C6"/>
    <w:rsid w:val="004555C3"/>
    <w:rsid w:val="0047447B"/>
    <w:rsid w:val="00484339"/>
    <w:rsid w:val="004869E4"/>
    <w:rsid w:val="004B5A95"/>
    <w:rsid w:val="004F0957"/>
    <w:rsid w:val="005046B9"/>
    <w:rsid w:val="005254A6"/>
    <w:rsid w:val="0053233D"/>
    <w:rsid w:val="00554F9A"/>
    <w:rsid w:val="005A147B"/>
    <w:rsid w:val="005A6F5C"/>
    <w:rsid w:val="005C1026"/>
    <w:rsid w:val="005E68E3"/>
    <w:rsid w:val="005F6918"/>
    <w:rsid w:val="00601EE6"/>
    <w:rsid w:val="00610986"/>
    <w:rsid w:val="00624FE8"/>
    <w:rsid w:val="006828C1"/>
    <w:rsid w:val="006C0005"/>
    <w:rsid w:val="006C06B4"/>
    <w:rsid w:val="006C1934"/>
    <w:rsid w:val="006D194E"/>
    <w:rsid w:val="00710415"/>
    <w:rsid w:val="0072364D"/>
    <w:rsid w:val="00763CCE"/>
    <w:rsid w:val="007850F9"/>
    <w:rsid w:val="00796934"/>
    <w:rsid w:val="008052D6"/>
    <w:rsid w:val="008140D2"/>
    <w:rsid w:val="00817DF1"/>
    <w:rsid w:val="0082549A"/>
    <w:rsid w:val="00861C34"/>
    <w:rsid w:val="00875F74"/>
    <w:rsid w:val="008B54D9"/>
    <w:rsid w:val="008D7B05"/>
    <w:rsid w:val="008F5D5D"/>
    <w:rsid w:val="00923732"/>
    <w:rsid w:val="00961600"/>
    <w:rsid w:val="00967B6A"/>
    <w:rsid w:val="00991AAE"/>
    <w:rsid w:val="009A322D"/>
    <w:rsid w:val="009B505B"/>
    <w:rsid w:val="009E4C65"/>
    <w:rsid w:val="00A1099B"/>
    <w:rsid w:val="00A125EB"/>
    <w:rsid w:val="00A15009"/>
    <w:rsid w:val="00A17959"/>
    <w:rsid w:val="00A3495D"/>
    <w:rsid w:val="00A552E3"/>
    <w:rsid w:val="00A87D66"/>
    <w:rsid w:val="00A87EB8"/>
    <w:rsid w:val="00A97F42"/>
    <w:rsid w:val="00AA72CB"/>
    <w:rsid w:val="00AD0D35"/>
    <w:rsid w:val="00B1070E"/>
    <w:rsid w:val="00B125CF"/>
    <w:rsid w:val="00B20329"/>
    <w:rsid w:val="00B24C43"/>
    <w:rsid w:val="00B24ED8"/>
    <w:rsid w:val="00B42DA2"/>
    <w:rsid w:val="00B442F7"/>
    <w:rsid w:val="00B47021"/>
    <w:rsid w:val="00B5588E"/>
    <w:rsid w:val="00B75735"/>
    <w:rsid w:val="00B82842"/>
    <w:rsid w:val="00BA0390"/>
    <w:rsid w:val="00BB2D32"/>
    <w:rsid w:val="00BF2097"/>
    <w:rsid w:val="00BF3E40"/>
    <w:rsid w:val="00C038F9"/>
    <w:rsid w:val="00C12615"/>
    <w:rsid w:val="00C12632"/>
    <w:rsid w:val="00C17BBF"/>
    <w:rsid w:val="00C30DE9"/>
    <w:rsid w:val="00C43306"/>
    <w:rsid w:val="00C54037"/>
    <w:rsid w:val="00CA1ECA"/>
    <w:rsid w:val="00CB0BAA"/>
    <w:rsid w:val="00CD0726"/>
    <w:rsid w:val="00CD4B44"/>
    <w:rsid w:val="00D02381"/>
    <w:rsid w:val="00DA6462"/>
    <w:rsid w:val="00DB3931"/>
    <w:rsid w:val="00DF2B8E"/>
    <w:rsid w:val="00DF37EB"/>
    <w:rsid w:val="00DF7D6A"/>
    <w:rsid w:val="00E10241"/>
    <w:rsid w:val="00E153C1"/>
    <w:rsid w:val="00E32BCF"/>
    <w:rsid w:val="00E52559"/>
    <w:rsid w:val="00E643B0"/>
    <w:rsid w:val="00E83582"/>
    <w:rsid w:val="00EA0AC4"/>
    <w:rsid w:val="00EB0299"/>
    <w:rsid w:val="00EC441F"/>
    <w:rsid w:val="00EC6230"/>
    <w:rsid w:val="00ED3A26"/>
    <w:rsid w:val="00EF5BD6"/>
    <w:rsid w:val="00F15821"/>
    <w:rsid w:val="00F77FCF"/>
    <w:rsid w:val="00FA175A"/>
    <w:rsid w:val="00FB13A1"/>
    <w:rsid w:val="00FB2356"/>
    <w:rsid w:val="00FC0563"/>
    <w:rsid w:val="00FC142C"/>
    <w:rsid w:val="024C7B7E"/>
    <w:rsid w:val="03085EBC"/>
    <w:rsid w:val="060A0859"/>
    <w:rsid w:val="07274ABF"/>
    <w:rsid w:val="07C308C6"/>
    <w:rsid w:val="07E27DE2"/>
    <w:rsid w:val="0F5003B9"/>
    <w:rsid w:val="10464D41"/>
    <w:rsid w:val="12237E16"/>
    <w:rsid w:val="164E5EA7"/>
    <w:rsid w:val="16953C1B"/>
    <w:rsid w:val="18032817"/>
    <w:rsid w:val="210634DE"/>
    <w:rsid w:val="213B3D1A"/>
    <w:rsid w:val="21DB5C6C"/>
    <w:rsid w:val="234C22AC"/>
    <w:rsid w:val="259063F0"/>
    <w:rsid w:val="26E40B30"/>
    <w:rsid w:val="27711F42"/>
    <w:rsid w:val="2EAC6087"/>
    <w:rsid w:val="2F3B5A4A"/>
    <w:rsid w:val="2FFE5A1F"/>
    <w:rsid w:val="35426A49"/>
    <w:rsid w:val="38AF7163"/>
    <w:rsid w:val="3E230FE7"/>
    <w:rsid w:val="3E952BDE"/>
    <w:rsid w:val="41C77552"/>
    <w:rsid w:val="433E65C2"/>
    <w:rsid w:val="43660A5A"/>
    <w:rsid w:val="442531E5"/>
    <w:rsid w:val="445A589A"/>
    <w:rsid w:val="45603410"/>
    <w:rsid w:val="45D00969"/>
    <w:rsid w:val="472B2CAB"/>
    <w:rsid w:val="472F3056"/>
    <w:rsid w:val="476A606E"/>
    <w:rsid w:val="4A2B5838"/>
    <w:rsid w:val="4A735073"/>
    <w:rsid w:val="4ACB0819"/>
    <w:rsid w:val="4E361388"/>
    <w:rsid w:val="4F431A2C"/>
    <w:rsid w:val="5202353D"/>
    <w:rsid w:val="522F1222"/>
    <w:rsid w:val="5391176E"/>
    <w:rsid w:val="554B070C"/>
    <w:rsid w:val="57C51042"/>
    <w:rsid w:val="5D157688"/>
    <w:rsid w:val="5EDD1954"/>
    <w:rsid w:val="5FF6130A"/>
    <w:rsid w:val="65D01703"/>
    <w:rsid w:val="660A3E2C"/>
    <w:rsid w:val="6C8456D5"/>
    <w:rsid w:val="6CC90487"/>
    <w:rsid w:val="744E52FB"/>
    <w:rsid w:val="767725E3"/>
    <w:rsid w:val="76C53D58"/>
    <w:rsid w:val="796B2926"/>
    <w:rsid w:val="7971647C"/>
    <w:rsid w:val="7ACB27BB"/>
    <w:rsid w:val="7B7F4658"/>
    <w:rsid w:val="7BAA1B9F"/>
    <w:rsid w:val="7E7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/>
      <w:ind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5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page number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/>
      <w:ind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5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page number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杨海潮</dc:creator>
  <cp:lastModifiedBy>刘铁琳</cp:lastModifiedBy>
  <cp:revision>7</cp:revision>
  <cp:lastPrinted>2022-09-22T02:40:00Z</cp:lastPrinted>
  <dcterms:created xsi:type="dcterms:W3CDTF">2022-03-28T07:50:00Z</dcterms:created>
  <dcterms:modified xsi:type="dcterms:W3CDTF">2022-12-05T06:34:00Z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EFF1EC9590984490A451A1A6858E2C38</vt:lpwstr>
  </property>
</Properties>
</file>