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57" w:rsidRPr="000A28EF" w:rsidRDefault="00315C57" w:rsidP="00315C57">
      <w:pPr>
        <w:rPr>
          <w:rFonts w:ascii="仿宋" w:eastAsia="仿宋" w:hAnsi="仿宋" w:cs="仿宋"/>
          <w:b/>
          <w:bCs/>
          <w:sz w:val="32"/>
          <w:szCs w:val="32"/>
        </w:rPr>
      </w:pPr>
      <w:r w:rsidRPr="000A28EF">
        <w:rPr>
          <w:rFonts w:ascii="仿宋" w:eastAsia="仿宋" w:hAnsi="仿宋" w:cs="仿宋" w:hint="eastAsia"/>
          <w:b/>
          <w:bCs/>
          <w:sz w:val="32"/>
          <w:szCs w:val="32"/>
        </w:rPr>
        <w:t>特种设备检验检测机构办事流程及文件清单</w:t>
      </w:r>
    </w:p>
    <w:p w:rsidR="00315C57" w:rsidRPr="000A28EF" w:rsidRDefault="00315C57" w:rsidP="00315C57">
      <w:pPr>
        <w:numPr>
          <w:ilvl w:val="0"/>
          <w:numId w:val="1"/>
        </w:numPr>
        <w:rPr>
          <w:rFonts w:ascii="仿宋" w:eastAsia="仿宋" w:hAnsi="仿宋" w:cs="仿宋"/>
          <w:sz w:val="32"/>
          <w:szCs w:val="32"/>
        </w:rPr>
      </w:pPr>
      <w:r w:rsidRPr="000A28EF">
        <w:rPr>
          <w:rFonts w:ascii="仿宋" w:eastAsia="仿宋" w:hAnsi="仿宋" w:cs="仿宋" w:hint="eastAsia"/>
          <w:sz w:val="32"/>
          <w:szCs w:val="32"/>
        </w:rPr>
        <w:t>申请条件</w:t>
      </w:r>
    </w:p>
    <w:p w:rsidR="00315C57" w:rsidRPr="000A28EF" w:rsidRDefault="00315C57" w:rsidP="00315C57">
      <w:pPr>
        <w:rPr>
          <w:rFonts w:ascii="仿宋" w:eastAsia="仿宋" w:hAnsi="仿宋"/>
          <w:sz w:val="32"/>
          <w:szCs w:val="32"/>
        </w:rPr>
      </w:pPr>
      <w:r w:rsidRPr="000A28EF">
        <w:rPr>
          <w:rFonts w:ascii="仿宋" w:eastAsia="仿宋" w:hAnsi="仿宋" w:hint="eastAsia"/>
          <w:sz w:val="32"/>
          <w:szCs w:val="32"/>
        </w:rPr>
        <w:t>a)</w:t>
      </w:r>
      <w:r w:rsidRPr="000A28EF">
        <w:rPr>
          <w:rFonts w:ascii="仿宋" w:eastAsia="仿宋" w:hAnsi="仿宋" w:hint="eastAsia"/>
          <w:sz w:val="32"/>
          <w:szCs w:val="32"/>
        </w:rPr>
        <w:tab/>
        <w:t>有独立法人资格（特种设备使用单位设立的检验检测机构和中央企业设立的检验检测机构除外）；</w:t>
      </w:r>
    </w:p>
    <w:p w:rsidR="00315C57" w:rsidRPr="000A28EF" w:rsidRDefault="00315C57" w:rsidP="00315C57">
      <w:pPr>
        <w:rPr>
          <w:rFonts w:ascii="仿宋" w:eastAsia="仿宋" w:hAnsi="仿宋"/>
          <w:sz w:val="32"/>
          <w:szCs w:val="32"/>
        </w:rPr>
      </w:pPr>
      <w:r w:rsidRPr="000A28EF">
        <w:rPr>
          <w:rFonts w:ascii="仿宋" w:eastAsia="仿宋" w:hAnsi="仿宋" w:hint="eastAsia"/>
          <w:sz w:val="32"/>
          <w:szCs w:val="32"/>
        </w:rPr>
        <w:t>b)</w:t>
      </w:r>
      <w:r w:rsidRPr="000A28EF">
        <w:rPr>
          <w:rFonts w:ascii="仿宋" w:eastAsia="仿宋" w:hAnsi="仿宋" w:hint="eastAsia"/>
          <w:sz w:val="32"/>
          <w:szCs w:val="32"/>
        </w:rPr>
        <w:tab/>
        <w:t>有与其承担的检验检测工作相适应的</w:t>
      </w:r>
      <w:proofErr w:type="gramStart"/>
      <w:r w:rsidRPr="000A28EF">
        <w:rPr>
          <w:rFonts w:ascii="仿宋" w:eastAsia="仿宋" w:hAnsi="仿宋" w:hint="eastAsia"/>
          <w:sz w:val="32"/>
          <w:szCs w:val="32"/>
        </w:rPr>
        <w:t>检验机测人员</w:t>
      </w:r>
      <w:proofErr w:type="gramEnd"/>
      <w:r w:rsidRPr="000A28EF">
        <w:rPr>
          <w:rFonts w:ascii="仿宋" w:eastAsia="仿宋" w:hAnsi="仿宋" w:hint="eastAsia"/>
          <w:sz w:val="32"/>
          <w:szCs w:val="32"/>
        </w:rPr>
        <w:t>、专业技术人员，技术负责人具有特种设备检验师（或相关专业工程师）及以上资格；</w:t>
      </w:r>
    </w:p>
    <w:p w:rsidR="00315C57" w:rsidRPr="000A28EF" w:rsidRDefault="00315C57" w:rsidP="00315C57">
      <w:pPr>
        <w:rPr>
          <w:rFonts w:ascii="仿宋" w:eastAsia="仿宋" w:hAnsi="仿宋"/>
          <w:sz w:val="32"/>
          <w:szCs w:val="32"/>
        </w:rPr>
      </w:pPr>
      <w:r w:rsidRPr="000A28EF">
        <w:rPr>
          <w:rFonts w:ascii="仿宋" w:eastAsia="仿宋" w:hAnsi="仿宋" w:hint="eastAsia"/>
          <w:sz w:val="32"/>
          <w:szCs w:val="32"/>
        </w:rPr>
        <w:t>c)</w:t>
      </w:r>
      <w:r w:rsidRPr="000A28EF">
        <w:rPr>
          <w:rFonts w:ascii="仿宋" w:eastAsia="仿宋" w:hAnsi="仿宋" w:hint="eastAsia"/>
          <w:sz w:val="32"/>
          <w:szCs w:val="32"/>
        </w:rPr>
        <w:tab/>
        <w:t>有与承担的检验检测项目相适应的场地、设备、检测、试验手段；</w:t>
      </w:r>
    </w:p>
    <w:p w:rsidR="00315C57" w:rsidRPr="000A28EF" w:rsidRDefault="00315C57" w:rsidP="00315C57">
      <w:pPr>
        <w:rPr>
          <w:rFonts w:ascii="仿宋" w:eastAsia="仿宋" w:hAnsi="仿宋"/>
          <w:sz w:val="32"/>
          <w:szCs w:val="32"/>
        </w:rPr>
      </w:pPr>
      <w:r w:rsidRPr="000A28EF">
        <w:rPr>
          <w:rFonts w:ascii="仿宋" w:eastAsia="仿宋" w:hAnsi="仿宋" w:hint="eastAsia"/>
          <w:sz w:val="32"/>
          <w:szCs w:val="32"/>
        </w:rPr>
        <w:t>d)</w:t>
      </w:r>
      <w:r w:rsidRPr="000A28EF">
        <w:rPr>
          <w:rFonts w:ascii="仿宋" w:eastAsia="仿宋" w:hAnsi="仿宋" w:hint="eastAsia"/>
          <w:sz w:val="32"/>
          <w:szCs w:val="32"/>
        </w:rPr>
        <w:tab/>
        <w:t>有健全的质量管理体系和各项管理制度，并能有效实施；</w:t>
      </w:r>
    </w:p>
    <w:p w:rsidR="00315C57" w:rsidRPr="000A28EF" w:rsidRDefault="00315C57" w:rsidP="00315C57">
      <w:pPr>
        <w:rPr>
          <w:rFonts w:ascii="仿宋" w:eastAsia="仿宋" w:hAnsi="仿宋"/>
          <w:sz w:val="32"/>
          <w:szCs w:val="32"/>
        </w:rPr>
      </w:pPr>
      <w:r w:rsidRPr="000A28EF">
        <w:rPr>
          <w:rFonts w:ascii="仿宋" w:eastAsia="仿宋" w:hAnsi="仿宋" w:hint="eastAsia"/>
          <w:sz w:val="32"/>
          <w:szCs w:val="32"/>
        </w:rPr>
        <w:t>e)</w:t>
      </w:r>
      <w:r w:rsidRPr="000A28EF">
        <w:rPr>
          <w:rFonts w:ascii="仿宋" w:eastAsia="仿宋" w:hAnsi="仿宋" w:hint="eastAsia"/>
          <w:sz w:val="32"/>
          <w:szCs w:val="32"/>
        </w:rPr>
        <w:tab/>
        <w:t>有与检验检测工作相适应的法律、法规、规章、安全技术规范及标准，并认真执行。</w:t>
      </w:r>
    </w:p>
    <w:p w:rsidR="00315C57" w:rsidRPr="000A28EF" w:rsidRDefault="00315C57" w:rsidP="00315C57">
      <w:pPr>
        <w:rPr>
          <w:rFonts w:ascii="仿宋" w:eastAsia="仿宋" w:hAnsi="仿宋" w:cs="仿宋"/>
          <w:sz w:val="32"/>
          <w:szCs w:val="32"/>
        </w:rPr>
      </w:pPr>
      <w:r w:rsidRPr="000A28EF">
        <w:rPr>
          <w:rFonts w:ascii="仿宋" w:eastAsia="仿宋" w:hAnsi="仿宋" w:cs="仿宋" w:hint="eastAsia"/>
          <w:sz w:val="32"/>
          <w:szCs w:val="32"/>
        </w:rPr>
        <w:t>二、办理依据</w:t>
      </w:r>
    </w:p>
    <w:p w:rsidR="00315C57" w:rsidRPr="000A28EF" w:rsidRDefault="00315C57" w:rsidP="00315C57">
      <w:pPr>
        <w:rPr>
          <w:rFonts w:ascii="仿宋" w:eastAsia="仿宋" w:hAnsi="仿宋" w:cs="Helvetica"/>
          <w:color w:val="2C3E50"/>
          <w:sz w:val="32"/>
          <w:szCs w:val="32"/>
        </w:rPr>
      </w:pPr>
      <w:r w:rsidRPr="000A28EF">
        <w:rPr>
          <w:rFonts w:ascii="仿宋" w:eastAsia="仿宋" w:hAnsi="仿宋" w:cs="Helvetica"/>
          <w:color w:val="2C3E50"/>
          <w:sz w:val="32"/>
          <w:szCs w:val="32"/>
        </w:rPr>
        <w:t>中华人民共和国特种设备安全法</w:t>
      </w:r>
    </w:p>
    <w:p w:rsidR="00315C57" w:rsidRPr="000A28EF" w:rsidRDefault="00315C57" w:rsidP="00315C57">
      <w:pPr>
        <w:rPr>
          <w:rFonts w:ascii="仿宋" w:eastAsia="仿宋" w:hAnsi="仿宋" w:cs="仿宋"/>
          <w:sz w:val="32"/>
          <w:szCs w:val="32"/>
        </w:rPr>
      </w:pPr>
      <w:r w:rsidRPr="000A28EF">
        <w:rPr>
          <w:rFonts w:ascii="仿宋" w:eastAsia="仿宋" w:hAnsi="仿宋" w:cs="仿宋" w:hint="eastAsia"/>
          <w:sz w:val="32"/>
          <w:szCs w:val="32"/>
        </w:rPr>
        <w:t>三、申请材料</w:t>
      </w:r>
    </w:p>
    <w:tbl>
      <w:tblPr>
        <w:tblStyle w:val="a5"/>
        <w:tblW w:w="9137" w:type="dxa"/>
        <w:tblLook w:val="0000" w:firstRow="0" w:lastRow="0" w:firstColumn="0" w:lastColumn="0" w:noHBand="0" w:noVBand="0"/>
      </w:tblPr>
      <w:tblGrid>
        <w:gridCol w:w="680"/>
        <w:gridCol w:w="4894"/>
        <w:gridCol w:w="3563"/>
      </w:tblGrid>
      <w:tr w:rsidR="00995F69" w:rsidRPr="000A28EF" w:rsidTr="00995F69">
        <w:tc>
          <w:tcPr>
            <w:tcW w:w="0" w:type="auto"/>
          </w:tcPr>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t>序号</w:t>
            </w:r>
          </w:p>
        </w:tc>
        <w:tc>
          <w:tcPr>
            <w:tcW w:w="0" w:type="auto"/>
          </w:tcPr>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t>材料名称</w:t>
            </w:r>
          </w:p>
        </w:tc>
        <w:tc>
          <w:tcPr>
            <w:tcW w:w="3563" w:type="dxa"/>
          </w:tcPr>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t>材料形式</w:t>
            </w:r>
          </w:p>
        </w:tc>
      </w:tr>
      <w:tr w:rsidR="00995F69" w:rsidRPr="000A28EF" w:rsidTr="00995F69">
        <w:tc>
          <w:tcPr>
            <w:tcW w:w="0" w:type="auto"/>
          </w:tcPr>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t>1</w:t>
            </w:r>
          </w:p>
        </w:tc>
        <w:tc>
          <w:tcPr>
            <w:tcW w:w="0" w:type="auto"/>
          </w:tcPr>
          <w:p w:rsidR="00995F69" w:rsidRPr="000A28EF" w:rsidRDefault="00995F69" w:rsidP="00995F69">
            <w:pPr>
              <w:rPr>
                <w:rFonts w:ascii="仿宋" w:eastAsia="仿宋" w:hAnsi="仿宋" w:cs="Helvetica"/>
                <w:color w:val="2C3E50"/>
                <w:sz w:val="32"/>
                <w:szCs w:val="32"/>
              </w:rPr>
            </w:pPr>
            <w:r w:rsidRPr="000A28EF">
              <w:rPr>
                <w:rFonts w:ascii="仿宋" w:eastAsia="仿宋" w:hAnsi="仿宋" w:cs="Helvetica"/>
                <w:color w:val="2C3E50"/>
                <w:sz w:val="32"/>
                <w:szCs w:val="32"/>
              </w:rPr>
              <w:br/>
              <w:t>特种设备检验检测机构核准申请书特种设备核准（许可）变更申请表</w:t>
            </w:r>
          </w:p>
          <w:p w:rsidR="00995F69" w:rsidRPr="000A28EF" w:rsidRDefault="00995F69" w:rsidP="00995F69">
            <w:pPr>
              <w:rPr>
                <w:rFonts w:ascii="仿宋" w:eastAsia="仿宋" w:hAnsi="仿宋" w:cs="仿宋"/>
                <w:sz w:val="32"/>
                <w:szCs w:val="32"/>
              </w:rPr>
            </w:pPr>
          </w:p>
        </w:tc>
        <w:tc>
          <w:tcPr>
            <w:tcW w:w="3563" w:type="dxa"/>
          </w:tcPr>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t>原件：3</w:t>
            </w:r>
          </w:p>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t>电子版</w:t>
            </w:r>
          </w:p>
        </w:tc>
      </w:tr>
      <w:tr w:rsidR="00995F69" w:rsidRPr="000A28EF" w:rsidTr="00995F69">
        <w:tc>
          <w:tcPr>
            <w:tcW w:w="0" w:type="auto"/>
          </w:tcPr>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lastRenderedPageBreak/>
              <w:t>2</w:t>
            </w:r>
          </w:p>
        </w:tc>
        <w:tc>
          <w:tcPr>
            <w:tcW w:w="0" w:type="auto"/>
          </w:tcPr>
          <w:p w:rsidR="00995F69" w:rsidRPr="000A28EF" w:rsidRDefault="00995F69" w:rsidP="00995F69">
            <w:pPr>
              <w:rPr>
                <w:rFonts w:ascii="仿宋" w:eastAsia="仿宋" w:hAnsi="仿宋" w:cs="Helvetica"/>
                <w:color w:val="2C3E50"/>
                <w:sz w:val="32"/>
                <w:szCs w:val="32"/>
              </w:rPr>
            </w:pPr>
            <w:r w:rsidRPr="000A28EF">
              <w:rPr>
                <w:rFonts w:ascii="仿宋" w:eastAsia="仿宋" w:hAnsi="仿宋" w:cs="Helvetica"/>
                <w:color w:val="2C3E50"/>
                <w:sz w:val="32"/>
                <w:szCs w:val="32"/>
              </w:rPr>
              <w:br/>
              <w:t>现有核准证书</w:t>
            </w:r>
          </w:p>
          <w:p w:rsidR="00995F69" w:rsidRPr="000A28EF" w:rsidRDefault="00995F69" w:rsidP="00995F69">
            <w:pPr>
              <w:rPr>
                <w:rFonts w:ascii="仿宋" w:eastAsia="仿宋" w:hAnsi="仿宋" w:cs="仿宋"/>
                <w:sz w:val="32"/>
                <w:szCs w:val="32"/>
              </w:rPr>
            </w:pPr>
          </w:p>
        </w:tc>
        <w:tc>
          <w:tcPr>
            <w:tcW w:w="3563" w:type="dxa"/>
          </w:tcPr>
          <w:p w:rsidR="00995F69" w:rsidRPr="000A28EF" w:rsidRDefault="00995F69" w:rsidP="00995F69">
            <w:pPr>
              <w:rPr>
                <w:rFonts w:ascii="仿宋" w:eastAsia="仿宋" w:hAnsi="仿宋" w:cs="仿宋"/>
                <w:sz w:val="32"/>
                <w:szCs w:val="32"/>
              </w:rPr>
            </w:pPr>
            <w:r w:rsidRPr="000A28EF">
              <w:rPr>
                <w:rFonts w:ascii="仿宋" w:eastAsia="仿宋" w:hAnsi="仿宋" w:cs="仿宋"/>
                <w:sz w:val="32"/>
                <w:szCs w:val="32"/>
              </w:rPr>
              <w:t>原件:1</w:t>
            </w:r>
          </w:p>
          <w:p w:rsidR="00995F69" w:rsidRPr="000A28EF" w:rsidRDefault="00995F69" w:rsidP="00995F69">
            <w:pPr>
              <w:rPr>
                <w:rFonts w:ascii="仿宋" w:eastAsia="仿宋" w:hAnsi="仿宋" w:cs="仿宋"/>
                <w:sz w:val="32"/>
                <w:szCs w:val="32"/>
              </w:rPr>
            </w:pPr>
            <w:r w:rsidRPr="000A28EF">
              <w:rPr>
                <w:rFonts w:ascii="仿宋" w:eastAsia="仿宋" w:hAnsi="仿宋" w:cs="仿宋"/>
                <w:sz w:val="32"/>
                <w:szCs w:val="32"/>
              </w:rPr>
              <w:t>电子版、纸质</w:t>
            </w:r>
          </w:p>
        </w:tc>
      </w:tr>
    </w:tbl>
    <w:p w:rsidR="00FE68BE" w:rsidRDefault="00C21848" w:rsidP="00995F69">
      <w:pPr>
        <w:rPr>
          <w:rFonts w:ascii="仿宋" w:eastAsia="仿宋" w:hAnsi="仿宋" w:cs="仿宋" w:hint="eastAsia"/>
          <w:sz w:val="32"/>
          <w:szCs w:val="32"/>
        </w:rPr>
      </w:pPr>
      <w:r>
        <w:rPr>
          <w:rFonts w:ascii="仿宋" w:eastAsia="仿宋" w:hAnsi="仿宋" w:cs="仿宋" w:hint="eastAsia"/>
          <w:sz w:val="32"/>
          <w:szCs w:val="32"/>
        </w:rPr>
        <w:t>材料准备要点：</w:t>
      </w:r>
    </w:p>
    <w:p w:rsidR="00C21848" w:rsidRDefault="00C21848" w:rsidP="00995F69">
      <w:pPr>
        <w:rPr>
          <w:rFonts w:ascii="仿宋" w:eastAsia="仿宋" w:hAnsi="仿宋" w:cs="仿宋"/>
          <w:sz w:val="32"/>
          <w:szCs w:val="32"/>
        </w:rPr>
      </w:pPr>
      <w:bookmarkStart w:id="0" w:name="_GoBack"/>
      <w:bookmarkEnd w:id="0"/>
      <w:proofErr w:type="gramStart"/>
      <w:r w:rsidRPr="00FE68BE">
        <w:rPr>
          <w:rFonts w:ascii="仿宋" w:eastAsia="仿宋" w:hAnsi="仿宋" w:cs="仿宋"/>
          <w:sz w:val="32"/>
          <w:szCs w:val="32"/>
        </w:rPr>
        <w:t>申请表样表可</w:t>
      </w:r>
      <w:proofErr w:type="gramEnd"/>
      <w:r w:rsidRPr="00FE68BE">
        <w:rPr>
          <w:rFonts w:ascii="仿宋" w:eastAsia="仿宋" w:hAnsi="仿宋" w:cs="仿宋"/>
          <w:sz w:val="32"/>
          <w:szCs w:val="32"/>
        </w:rPr>
        <w:t>通过天津网上办事大厅（http://zwfw.tj.gov.cn）直接下载，单位发生更名、地址变更等变化，需要更换相应的许可（核准）证的，应当填写变更申请表，填写说明及申请表见附录A、B</w:t>
      </w:r>
      <w:r>
        <w:rPr>
          <w:rFonts w:ascii="Helvetica" w:hAnsi="Helvetica" w:cs="Helvetica"/>
          <w:color w:val="606266"/>
          <w:szCs w:val="21"/>
          <w:shd w:val="clear" w:color="auto" w:fill="FFFFFF"/>
        </w:rPr>
        <w:t>。</w:t>
      </w:r>
    </w:p>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t>三、收费项目信息</w:t>
      </w:r>
    </w:p>
    <w:p w:rsidR="00995F69" w:rsidRPr="000A28EF" w:rsidRDefault="00995F69" w:rsidP="00995F69">
      <w:pPr>
        <w:rPr>
          <w:rFonts w:ascii="仿宋" w:eastAsia="仿宋" w:hAnsi="仿宋" w:cs="仿宋"/>
          <w:sz w:val="32"/>
          <w:szCs w:val="32"/>
        </w:rPr>
      </w:pPr>
      <w:r w:rsidRPr="000A28EF">
        <w:rPr>
          <w:rFonts w:ascii="仿宋" w:eastAsia="仿宋" w:hAnsi="仿宋" w:cs="仿宋" w:hint="eastAsia"/>
          <w:sz w:val="32"/>
          <w:szCs w:val="32"/>
        </w:rPr>
        <w:t>是否收费：</w:t>
      </w:r>
      <w:proofErr w:type="gramStart"/>
      <w:r w:rsidRPr="000A28EF">
        <w:rPr>
          <w:rFonts w:ascii="仿宋" w:eastAsia="仿宋" w:hAnsi="仿宋" w:cs="仿宋" w:hint="eastAsia"/>
          <w:sz w:val="32"/>
          <w:szCs w:val="32"/>
        </w:rPr>
        <w:t>否</w:t>
      </w:r>
      <w:proofErr w:type="gramEnd"/>
    </w:p>
    <w:p w:rsidR="00315C57" w:rsidRPr="000A28EF" w:rsidRDefault="00CA2146" w:rsidP="003305CB">
      <w:pPr>
        <w:widowControl/>
        <w:jc w:val="left"/>
        <w:rPr>
          <w:rFonts w:ascii="仿宋" w:eastAsia="仿宋" w:hAnsi="仿宋" w:cs="仿宋"/>
          <w:sz w:val="32"/>
          <w:szCs w:val="32"/>
        </w:rPr>
      </w:pPr>
      <w:r w:rsidRPr="000A28EF">
        <w:rPr>
          <w:rFonts w:ascii="仿宋" w:eastAsia="仿宋" w:hAnsi="仿宋" w:cs="仿宋" w:hint="eastAsia"/>
          <w:sz w:val="32"/>
          <w:szCs w:val="32"/>
        </w:rPr>
        <w:t>四、</w:t>
      </w:r>
      <w:r w:rsidR="00995F69" w:rsidRPr="000A28EF">
        <w:rPr>
          <w:rFonts w:ascii="仿宋" w:eastAsia="仿宋" w:hAnsi="仿宋" w:cs="仿宋" w:hint="eastAsia"/>
          <w:sz w:val="32"/>
          <w:szCs w:val="32"/>
        </w:rPr>
        <w:t>办理流程</w:t>
      </w:r>
    </w:p>
    <w:tbl>
      <w:tblPr>
        <w:tblStyle w:val="a5"/>
        <w:tblW w:w="0" w:type="auto"/>
        <w:tblLook w:val="0000" w:firstRow="0" w:lastRow="0" w:firstColumn="0" w:lastColumn="0" w:noHBand="0" w:noVBand="0"/>
      </w:tblPr>
      <w:tblGrid>
        <w:gridCol w:w="592"/>
        <w:gridCol w:w="1609"/>
        <w:gridCol w:w="1527"/>
        <w:gridCol w:w="4794"/>
      </w:tblGrid>
      <w:tr w:rsidR="003305CB" w:rsidRPr="000A28EF" w:rsidTr="003305CB">
        <w:tc>
          <w:tcPr>
            <w:tcW w:w="0" w:type="auto"/>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序号</w:t>
            </w:r>
          </w:p>
        </w:tc>
        <w:tc>
          <w:tcPr>
            <w:tcW w:w="1609"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流程</w:t>
            </w:r>
          </w:p>
        </w:tc>
        <w:tc>
          <w:tcPr>
            <w:tcW w:w="1527"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详细内容</w:t>
            </w:r>
          </w:p>
        </w:tc>
        <w:tc>
          <w:tcPr>
            <w:tcW w:w="4794" w:type="dxa"/>
            <w:vAlign w:val="center"/>
          </w:tcPr>
          <w:p w:rsidR="003305CB" w:rsidRPr="000A28EF" w:rsidRDefault="003305CB" w:rsidP="003305CB">
            <w:pPr>
              <w:jc w:val="left"/>
              <w:rPr>
                <w:rFonts w:ascii="仿宋" w:eastAsia="仿宋" w:hAnsi="仿宋" w:cs="Helvetica"/>
                <w:color w:val="2C3E50"/>
                <w:sz w:val="32"/>
                <w:szCs w:val="32"/>
              </w:rPr>
            </w:pPr>
          </w:p>
        </w:tc>
      </w:tr>
      <w:tr w:rsidR="003305CB" w:rsidRPr="000A28EF" w:rsidTr="003305CB">
        <w:trPr>
          <w:trHeight w:val="571"/>
        </w:trPr>
        <w:tc>
          <w:tcPr>
            <w:tcW w:w="592" w:type="dxa"/>
            <w:vMerge w:val="restart"/>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1</w:t>
            </w:r>
          </w:p>
        </w:tc>
        <w:tc>
          <w:tcPr>
            <w:tcW w:w="1609" w:type="dxa"/>
            <w:vMerge w:val="restart"/>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申请和受理</w:t>
            </w:r>
          </w:p>
        </w:tc>
        <w:tc>
          <w:tcPr>
            <w:tcW w:w="1527"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环节名称</w:t>
            </w:r>
          </w:p>
        </w:tc>
        <w:tc>
          <w:tcPr>
            <w:tcW w:w="4794"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形式审查</w:t>
            </w:r>
          </w:p>
        </w:tc>
      </w:tr>
      <w:tr w:rsidR="003305CB" w:rsidRPr="000A28EF" w:rsidTr="003305CB">
        <w:tc>
          <w:tcPr>
            <w:tcW w:w="592" w:type="dxa"/>
            <w:vMerge/>
            <w:vAlign w:val="center"/>
          </w:tcPr>
          <w:p w:rsidR="003305CB" w:rsidRPr="000A28EF" w:rsidRDefault="003305CB" w:rsidP="003305CB">
            <w:pPr>
              <w:jc w:val="left"/>
              <w:rPr>
                <w:rFonts w:ascii="仿宋" w:eastAsia="仿宋" w:hAnsi="仿宋" w:cs="Helvetica"/>
                <w:color w:val="2C3E50"/>
                <w:sz w:val="32"/>
                <w:szCs w:val="32"/>
              </w:rPr>
            </w:pPr>
          </w:p>
        </w:tc>
        <w:tc>
          <w:tcPr>
            <w:tcW w:w="1609" w:type="dxa"/>
            <w:vMerge/>
            <w:vAlign w:val="center"/>
          </w:tcPr>
          <w:p w:rsidR="003305CB" w:rsidRPr="000A28EF" w:rsidRDefault="003305CB" w:rsidP="003305CB">
            <w:pPr>
              <w:jc w:val="left"/>
              <w:rPr>
                <w:rFonts w:ascii="仿宋" w:eastAsia="仿宋" w:hAnsi="仿宋" w:cs="Helvetica"/>
                <w:color w:val="2C3E50"/>
                <w:sz w:val="32"/>
                <w:szCs w:val="32"/>
              </w:rPr>
            </w:pPr>
          </w:p>
        </w:tc>
        <w:tc>
          <w:tcPr>
            <w:tcW w:w="1527"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办理时限（工作日）</w:t>
            </w:r>
          </w:p>
        </w:tc>
        <w:tc>
          <w:tcPr>
            <w:tcW w:w="4794"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1</w:t>
            </w:r>
          </w:p>
        </w:tc>
      </w:tr>
      <w:tr w:rsidR="003305CB" w:rsidRPr="000A28EF" w:rsidTr="003305CB">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仿宋"/>
                <w:sz w:val="32"/>
                <w:szCs w:val="32"/>
              </w:rPr>
            </w:pPr>
          </w:p>
        </w:tc>
        <w:tc>
          <w:tcPr>
            <w:tcW w:w="1527"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审查标准</w:t>
            </w:r>
          </w:p>
        </w:tc>
        <w:tc>
          <w:tcPr>
            <w:tcW w:w="4794"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color w:val="2C3E50"/>
                <w:sz w:val="32"/>
                <w:szCs w:val="32"/>
              </w:rPr>
              <w:t xml:space="preserve">8.5.1.1　特种设备检验检测机构核准申请书特种设备核准（许可）变更申请表 应主要审查以下内容： a) 是否加盖单位公章； b) 是否有法定代表人签字； c) </w:t>
            </w:r>
            <w:r w:rsidRPr="000A28EF">
              <w:rPr>
                <w:rFonts w:ascii="仿宋" w:eastAsia="仿宋" w:hAnsi="仿宋" w:cs="Helvetica"/>
                <w:color w:val="2C3E50"/>
                <w:sz w:val="32"/>
                <w:szCs w:val="32"/>
              </w:rPr>
              <w:lastRenderedPageBreak/>
              <w:t>是否按照附录A填写。 8.5.1.2　营业执照 应主要审查以下内容： a) 是否加盖单位公章； …… 8.5.1.3　现有核准证书 应主要审查以下内容： a) 是否加盖单位公章；</w:t>
            </w:r>
          </w:p>
        </w:tc>
      </w:tr>
      <w:tr w:rsidR="003305CB" w:rsidRPr="000A28EF" w:rsidTr="003305CB">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仿宋"/>
                <w:sz w:val="32"/>
                <w:szCs w:val="32"/>
              </w:rPr>
            </w:pPr>
          </w:p>
        </w:tc>
        <w:tc>
          <w:tcPr>
            <w:tcW w:w="1527" w:type="dxa"/>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Helvetica" w:hint="eastAsia"/>
                <w:color w:val="2C3E50"/>
                <w:sz w:val="32"/>
                <w:szCs w:val="32"/>
              </w:rPr>
              <w:t>结果</w:t>
            </w:r>
          </w:p>
        </w:tc>
        <w:tc>
          <w:tcPr>
            <w:tcW w:w="4794" w:type="dxa"/>
            <w:vAlign w:val="center"/>
          </w:tcPr>
          <w:p w:rsidR="003305CB" w:rsidRPr="000A28EF" w:rsidRDefault="003305CB" w:rsidP="003305CB">
            <w:pPr>
              <w:jc w:val="left"/>
              <w:rPr>
                <w:rFonts w:ascii="仿宋" w:eastAsia="仿宋" w:hAnsi="仿宋" w:cs="仿宋"/>
                <w:sz w:val="32"/>
                <w:szCs w:val="32"/>
              </w:rPr>
            </w:pPr>
            <w:proofErr w:type="gramStart"/>
            <w:r w:rsidRPr="000A28EF">
              <w:rPr>
                <w:rFonts w:ascii="仿宋" w:eastAsia="仿宋" w:hAnsi="仿宋" w:cs="Helvetica"/>
                <w:color w:val="2C3E50"/>
                <w:sz w:val="32"/>
                <w:szCs w:val="32"/>
              </w:rPr>
              <w:t>接件人员</w:t>
            </w:r>
            <w:proofErr w:type="gramEnd"/>
            <w:r w:rsidRPr="000A28EF">
              <w:rPr>
                <w:rFonts w:ascii="仿宋" w:eastAsia="仿宋" w:hAnsi="仿宋" w:cs="Helvetica"/>
                <w:color w:val="2C3E50"/>
                <w:sz w:val="32"/>
                <w:szCs w:val="32"/>
              </w:rPr>
              <w:t>根据下列情况分别</w:t>
            </w:r>
            <w:proofErr w:type="gramStart"/>
            <w:r w:rsidRPr="000A28EF">
              <w:rPr>
                <w:rFonts w:ascii="仿宋" w:eastAsia="仿宋" w:hAnsi="仿宋" w:cs="Helvetica"/>
                <w:color w:val="2C3E50"/>
                <w:sz w:val="32"/>
                <w:szCs w:val="32"/>
              </w:rPr>
              <w:t>作出</w:t>
            </w:r>
            <w:proofErr w:type="gramEnd"/>
            <w:r w:rsidRPr="000A28EF">
              <w:rPr>
                <w:rFonts w:ascii="仿宋" w:eastAsia="仿宋" w:hAnsi="仿宋" w:cs="Helvetica"/>
                <w:color w:val="2C3E50"/>
                <w:sz w:val="32"/>
                <w:szCs w:val="32"/>
              </w:rPr>
              <w:t>处理：a) 申请材料齐全、符合法定形式，或者申请人按照行政审批部门的要求提交全部补正申请材料的，应当在“天津市行政许可服务与效能管理系统”上，受理行政许可申请,并出具加盖行政审批专用章的《行政许可受理告知书》；b) 申请事项依法不需要取得行政许可的，应当即时告知申请人不受理，并出具加盖行政审批专用章的《行政许可不予受理告知书》。</w:t>
            </w:r>
          </w:p>
        </w:tc>
      </w:tr>
      <w:tr w:rsidR="003305CB" w:rsidRPr="000A28EF" w:rsidTr="003305CB">
        <w:trPr>
          <w:trHeight w:val="632"/>
        </w:trPr>
        <w:tc>
          <w:tcPr>
            <w:tcW w:w="592" w:type="dxa"/>
            <w:vMerge w:val="restart"/>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Helvetica"/>
                <w:color w:val="2C3E50"/>
                <w:sz w:val="32"/>
                <w:szCs w:val="32"/>
                <w:shd w:val="clear" w:color="auto" w:fill="F2F2F2"/>
              </w:rPr>
              <w:t>2</w:t>
            </w:r>
          </w:p>
        </w:tc>
        <w:tc>
          <w:tcPr>
            <w:tcW w:w="1609" w:type="dxa"/>
            <w:vMerge w:val="restart"/>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Helvetica"/>
                <w:color w:val="2C3E50"/>
                <w:sz w:val="32"/>
                <w:szCs w:val="32"/>
                <w:shd w:val="clear" w:color="auto" w:fill="F2F2F2"/>
              </w:rPr>
              <w:t>审查</w:t>
            </w:r>
          </w:p>
        </w:tc>
        <w:tc>
          <w:tcPr>
            <w:tcW w:w="1527" w:type="dxa"/>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Helvetica"/>
                <w:color w:val="2C3E50"/>
                <w:sz w:val="32"/>
                <w:szCs w:val="32"/>
                <w:shd w:val="clear" w:color="auto" w:fill="F2F2F2"/>
              </w:rPr>
              <w:t>环节名称</w:t>
            </w:r>
          </w:p>
        </w:tc>
        <w:tc>
          <w:tcPr>
            <w:tcW w:w="4794" w:type="dxa"/>
            <w:vAlign w:val="center"/>
          </w:tcPr>
          <w:p w:rsidR="003305CB" w:rsidRPr="000A28EF" w:rsidRDefault="003305CB" w:rsidP="003305CB">
            <w:pPr>
              <w:jc w:val="left"/>
              <w:rPr>
                <w:rFonts w:ascii="仿宋" w:eastAsia="仿宋" w:hAnsi="仿宋" w:cs="仿宋"/>
                <w:sz w:val="32"/>
                <w:szCs w:val="32"/>
              </w:rPr>
            </w:pPr>
            <w:r w:rsidRPr="000A28EF">
              <w:rPr>
                <w:rFonts w:ascii="仿宋" w:eastAsia="仿宋" w:hAnsi="仿宋" w:cs="Helvetica"/>
                <w:color w:val="2C3E50"/>
                <w:sz w:val="32"/>
                <w:szCs w:val="32"/>
              </w:rPr>
              <w:t>鉴定评审</w:t>
            </w:r>
          </w:p>
        </w:tc>
      </w:tr>
      <w:tr w:rsidR="003305CB" w:rsidRPr="000A28EF" w:rsidTr="003305CB">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仿宋"/>
                <w:sz w:val="32"/>
                <w:szCs w:val="32"/>
              </w:rPr>
            </w:pPr>
          </w:p>
        </w:tc>
        <w:tc>
          <w:tcPr>
            <w:tcW w:w="1527" w:type="dxa"/>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Helvetica"/>
                <w:color w:val="2C3E50"/>
                <w:sz w:val="32"/>
                <w:szCs w:val="32"/>
                <w:shd w:val="clear" w:color="auto" w:fill="F2F2F2"/>
              </w:rPr>
              <w:t>办理时限（工作</w:t>
            </w:r>
            <w:r w:rsidRPr="000A28EF">
              <w:rPr>
                <w:rFonts w:ascii="仿宋" w:eastAsia="仿宋" w:hAnsi="仿宋" w:cs="Helvetica"/>
                <w:color w:val="2C3E50"/>
                <w:sz w:val="32"/>
                <w:szCs w:val="32"/>
                <w:shd w:val="clear" w:color="auto" w:fill="F2F2F2"/>
              </w:rPr>
              <w:lastRenderedPageBreak/>
              <w:t>日）</w:t>
            </w:r>
          </w:p>
        </w:tc>
        <w:tc>
          <w:tcPr>
            <w:tcW w:w="4794" w:type="dxa"/>
            <w:vAlign w:val="center"/>
          </w:tcPr>
          <w:p w:rsidR="003305CB" w:rsidRPr="000A28EF" w:rsidRDefault="003305CB" w:rsidP="003305CB">
            <w:pPr>
              <w:jc w:val="left"/>
              <w:rPr>
                <w:rFonts w:ascii="仿宋" w:eastAsia="仿宋" w:hAnsi="仿宋" w:cs="仿宋"/>
                <w:sz w:val="32"/>
                <w:szCs w:val="32"/>
              </w:rPr>
            </w:pPr>
            <w:r w:rsidRPr="000A28EF">
              <w:rPr>
                <w:rFonts w:ascii="仿宋" w:eastAsia="仿宋" w:hAnsi="仿宋" w:cs="Helvetica"/>
                <w:color w:val="2C3E50"/>
                <w:sz w:val="32"/>
                <w:szCs w:val="32"/>
              </w:rPr>
              <w:lastRenderedPageBreak/>
              <w:t>1年，特殊环节（专家评审）不计入时限</w:t>
            </w:r>
          </w:p>
        </w:tc>
      </w:tr>
      <w:tr w:rsidR="003305CB" w:rsidRPr="000A28EF" w:rsidTr="003305CB">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仿宋"/>
                <w:sz w:val="32"/>
                <w:szCs w:val="32"/>
              </w:rPr>
            </w:pP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审查标准</w:t>
            </w:r>
          </w:p>
        </w:tc>
        <w:tc>
          <w:tcPr>
            <w:tcW w:w="4794" w:type="dxa"/>
            <w:vAlign w:val="center"/>
          </w:tcPr>
          <w:p w:rsidR="003305CB" w:rsidRPr="000A28EF" w:rsidRDefault="003305CB" w:rsidP="003305CB">
            <w:pPr>
              <w:jc w:val="left"/>
              <w:rPr>
                <w:rFonts w:ascii="仿宋" w:eastAsia="仿宋" w:hAnsi="仿宋" w:cs="仿宋"/>
                <w:sz w:val="32"/>
                <w:szCs w:val="32"/>
              </w:rPr>
            </w:pPr>
            <w:r w:rsidRPr="000A28EF">
              <w:rPr>
                <w:rFonts w:ascii="仿宋" w:eastAsia="仿宋" w:hAnsi="仿宋" w:cs="Helvetica"/>
                <w:color w:val="2C3E50"/>
                <w:sz w:val="32"/>
                <w:szCs w:val="32"/>
              </w:rPr>
              <w:t>特种设备检验检测机构核准操作程序应涉及鉴定评审。鉴定评审机构应当接照《特种设备检验检测机构核准》（TSG Z7001-2004）的要求，派出鉴定评审组对申请单位的资源条件、质量管理体系和充装工作质量进行现场审查，提出评审结论意见。</w:t>
            </w:r>
          </w:p>
        </w:tc>
      </w:tr>
      <w:tr w:rsidR="003305CB" w:rsidRPr="000A28EF" w:rsidTr="003305CB">
        <w:trPr>
          <w:trHeight w:val="722"/>
        </w:trPr>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仿宋"/>
                <w:sz w:val="32"/>
                <w:szCs w:val="32"/>
              </w:rPr>
            </w:pP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结果</w:t>
            </w:r>
          </w:p>
        </w:tc>
        <w:tc>
          <w:tcPr>
            <w:tcW w:w="4794" w:type="dxa"/>
            <w:vAlign w:val="center"/>
          </w:tcPr>
          <w:p w:rsidR="003305CB" w:rsidRPr="000A28EF" w:rsidRDefault="003305CB" w:rsidP="003305CB">
            <w:pPr>
              <w:jc w:val="left"/>
              <w:rPr>
                <w:rFonts w:ascii="仿宋" w:eastAsia="仿宋" w:hAnsi="仿宋" w:cs="仿宋"/>
                <w:sz w:val="32"/>
                <w:szCs w:val="32"/>
              </w:rPr>
            </w:pPr>
            <w:r w:rsidRPr="000A28EF">
              <w:rPr>
                <w:rFonts w:ascii="仿宋" w:eastAsia="仿宋" w:hAnsi="仿宋" w:cs="Helvetica"/>
                <w:color w:val="2C3E50"/>
                <w:sz w:val="32"/>
                <w:szCs w:val="32"/>
              </w:rPr>
              <w:t>通过/不予通过</w:t>
            </w:r>
          </w:p>
        </w:tc>
      </w:tr>
      <w:tr w:rsidR="003305CB" w:rsidRPr="000A28EF" w:rsidTr="003305CB">
        <w:tc>
          <w:tcPr>
            <w:tcW w:w="592" w:type="dxa"/>
            <w:vMerge w:val="restart"/>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仿宋" w:hint="eastAsia"/>
                <w:sz w:val="32"/>
                <w:szCs w:val="32"/>
              </w:rPr>
              <w:t>3</w:t>
            </w:r>
          </w:p>
        </w:tc>
        <w:tc>
          <w:tcPr>
            <w:tcW w:w="1609" w:type="dxa"/>
            <w:vMerge w:val="restart"/>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Helvetica"/>
                <w:color w:val="2C3E50"/>
                <w:sz w:val="32"/>
                <w:szCs w:val="32"/>
                <w:shd w:val="clear" w:color="auto" w:fill="F2F2F2"/>
              </w:rPr>
              <w:t>决定</w:t>
            </w: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环节名称</w:t>
            </w:r>
          </w:p>
        </w:tc>
        <w:tc>
          <w:tcPr>
            <w:tcW w:w="4794"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决定</w:t>
            </w:r>
          </w:p>
        </w:tc>
      </w:tr>
      <w:tr w:rsidR="003305CB" w:rsidRPr="000A28EF" w:rsidTr="003305CB">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仿宋"/>
                <w:sz w:val="32"/>
                <w:szCs w:val="32"/>
              </w:rPr>
            </w:pP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办理时限（工作日）</w:t>
            </w:r>
          </w:p>
        </w:tc>
        <w:tc>
          <w:tcPr>
            <w:tcW w:w="4794" w:type="dxa"/>
            <w:vAlign w:val="center"/>
          </w:tcPr>
          <w:p w:rsidR="003305CB" w:rsidRPr="000A28EF" w:rsidRDefault="003305CB"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3</w:t>
            </w:r>
          </w:p>
        </w:tc>
      </w:tr>
      <w:tr w:rsidR="003305CB" w:rsidRPr="000A28EF" w:rsidTr="003305CB">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仿宋"/>
                <w:sz w:val="32"/>
                <w:szCs w:val="32"/>
              </w:rPr>
            </w:pP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审查标准</w:t>
            </w:r>
          </w:p>
        </w:tc>
        <w:tc>
          <w:tcPr>
            <w:tcW w:w="4794" w:type="dxa"/>
            <w:vAlign w:val="center"/>
          </w:tcPr>
          <w:p w:rsidR="003305CB" w:rsidRPr="000A28EF" w:rsidRDefault="003305CB" w:rsidP="003305CB">
            <w:pPr>
              <w:jc w:val="left"/>
              <w:rPr>
                <w:rFonts w:ascii="仿宋" w:eastAsia="仿宋" w:hAnsi="仿宋" w:cs="仿宋"/>
                <w:sz w:val="32"/>
                <w:szCs w:val="32"/>
              </w:rPr>
            </w:pPr>
            <w:proofErr w:type="gramStart"/>
            <w:r w:rsidRPr="000A28EF">
              <w:rPr>
                <w:rFonts w:ascii="仿宋" w:eastAsia="仿宋" w:hAnsi="仿宋" w:cs="Helvetica"/>
                <w:color w:val="2C3E50"/>
                <w:sz w:val="32"/>
                <w:szCs w:val="32"/>
              </w:rPr>
              <w:t>依以上</w:t>
            </w:r>
            <w:proofErr w:type="gramEnd"/>
            <w:r w:rsidRPr="000A28EF">
              <w:rPr>
                <w:rFonts w:ascii="仿宋" w:eastAsia="仿宋" w:hAnsi="仿宋" w:cs="Helvetica"/>
                <w:color w:val="2C3E50"/>
                <w:sz w:val="32"/>
                <w:szCs w:val="32"/>
              </w:rPr>
              <w:t>流程决定</w:t>
            </w:r>
          </w:p>
        </w:tc>
      </w:tr>
      <w:tr w:rsidR="003305CB" w:rsidRPr="000A28EF" w:rsidTr="003305CB">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仿宋"/>
                <w:sz w:val="32"/>
                <w:szCs w:val="32"/>
              </w:rPr>
            </w:pP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结果</w:t>
            </w:r>
          </w:p>
        </w:tc>
        <w:tc>
          <w:tcPr>
            <w:tcW w:w="4794" w:type="dxa"/>
            <w:vAlign w:val="center"/>
          </w:tcPr>
          <w:p w:rsidR="003305CB" w:rsidRPr="000A28EF" w:rsidRDefault="003305CB" w:rsidP="003305CB">
            <w:pPr>
              <w:jc w:val="left"/>
              <w:rPr>
                <w:rFonts w:ascii="仿宋" w:eastAsia="仿宋" w:hAnsi="仿宋" w:cs="仿宋"/>
                <w:sz w:val="32"/>
                <w:szCs w:val="32"/>
              </w:rPr>
            </w:pPr>
            <w:r w:rsidRPr="000A28EF">
              <w:rPr>
                <w:rFonts w:ascii="仿宋" w:eastAsia="仿宋" w:hAnsi="仿宋" w:cs="Helvetica"/>
                <w:color w:val="2C3E50"/>
                <w:sz w:val="32"/>
                <w:szCs w:val="32"/>
              </w:rPr>
              <w:t>审批工作人员应根据法律、法规、规章和审查意见，并按照下列情况分别</w:t>
            </w:r>
            <w:proofErr w:type="gramStart"/>
            <w:r w:rsidRPr="000A28EF">
              <w:rPr>
                <w:rFonts w:ascii="仿宋" w:eastAsia="仿宋" w:hAnsi="仿宋" w:cs="Helvetica"/>
                <w:color w:val="2C3E50"/>
                <w:sz w:val="32"/>
                <w:szCs w:val="32"/>
              </w:rPr>
              <w:t>作出</w:t>
            </w:r>
            <w:proofErr w:type="gramEnd"/>
            <w:r w:rsidRPr="000A28EF">
              <w:rPr>
                <w:rFonts w:ascii="仿宋" w:eastAsia="仿宋" w:hAnsi="仿宋" w:cs="Helvetica"/>
                <w:color w:val="2C3E50"/>
                <w:sz w:val="32"/>
                <w:szCs w:val="32"/>
              </w:rPr>
              <w:t>处理：a) 申请人提交的申请材料齐全、符合法定形式，应在承诺时限内</w:t>
            </w:r>
            <w:proofErr w:type="gramStart"/>
            <w:r w:rsidRPr="000A28EF">
              <w:rPr>
                <w:rFonts w:ascii="仿宋" w:eastAsia="仿宋" w:hAnsi="仿宋" w:cs="Helvetica"/>
                <w:color w:val="2C3E50"/>
                <w:sz w:val="32"/>
                <w:szCs w:val="32"/>
              </w:rPr>
              <w:t>作出</w:t>
            </w:r>
            <w:proofErr w:type="gramEnd"/>
            <w:r w:rsidRPr="000A28EF">
              <w:rPr>
                <w:rFonts w:ascii="仿宋" w:eastAsia="仿宋" w:hAnsi="仿宋" w:cs="Helvetica"/>
                <w:color w:val="2C3E50"/>
                <w:sz w:val="32"/>
                <w:szCs w:val="32"/>
              </w:rPr>
              <w:t>决定的，并签发《准予行政许可决定书》；b) 依法</w:t>
            </w:r>
            <w:proofErr w:type="gramStart"/>
            <w:r w:rsidRPr="000A28EF">
              <w:rPr>
                <w:rFonts w:ascii="仿宋" w:eastAsia="仿宋" w:hAnsi="仿宋" w:cs="Helvetica"/>
                <w:color w:val="2C3E50"/>
                <w:sz w:val="32"/>
                <w:szCs w:val="32"/>
              </w:rPr>
              <w:t>作出</w:t>
            </w:r>
            <w:proofErr w:type="gramEnd"/>
            <w:r w:rsidRPr="000A28EF">
              <w:rPr>
                <w:rFonts w:ascii="仿宋" w:eastAsia="仿宋" w:hAnsi="仿宋" w:cs="Helvetica"/>
                <w:color w:val="2C3E50"/>
                <w:sz w:val="32"/>
                <w:szCs w:val="32"/>
              </w:rPr>
              <w:t>不予行政许可的书</w:t>
            </w:r>
            <w:r w:rsidRPr="000A28EF">
              <w:rPr>
                <w:rFonts w:ascii="仿宋" w:eastAsia="仿宋" w:hAnsi="仿宋" w:cs="Helvetica"/>
                <w:color w:val="2C3E50"/>
                <w:sz w:val="32"/>
                <w:szCs w:val="32"/>
              </w:rPr>
              <w:lastRenderedPageBreak/>
              <w:t>面决定的，应当说明理由，签发《不予行政许可决定书》，并告知申请人享有依法申请行政复议或者提起行政诉讼的权利。</w:t>
            </w:r>
          </w:p>
        </w:tc>
      </w:tr>
      <w:tr w:rsidR="003305CB" w:rsidRPr="000A28EF" w:rsidTr="003305CB">
        <w:trPr>
          <w:trHeight w:val="742"/>
        </w:trPr>
        <w:tc>
          <w:tcPr>
            <w:tcW w:w="592" w:type="dxa"/>
            <w:vMerge w:val="restart"/>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Helvetica" w:hint="eastAsia"/>
                <w:color w:val="2C3E50"/>
                <w:sz w:val="32"/>
                <w:szCs w:val="32"/>
                <w:shd w:val="clear" w:color="auto" w:fill="F2F2F2"/>
              </w:rPr>
              <w:lastRenderedPageBreak/>
              <w:t>4</w:t>
            </w:r>
          </w:p>
        </w:tc>
        <w:tc>
          <w:tcPr>
            <w:tcW w:w="1609" w:type="dxa"/>
            <w:vMerge w:val="restart"/>
            <w:vAlign w:val="center"/>
          </w:tcPr>
          <w:p w:rsidR="003305CB" w:rsidRPr="000A28EF" w:rsidRDefault="003305CB" w:rsidP="003305CB">
            <w:pPr>
              <w:jc w:val="center"/>
              <w:rPr>
                <w:rFonts w:ascii="仿宋" w:eastAsia="仿宋" w:hAnsi="仿宋" w:cs="仿宋"/>
                <w:sz w:val="32"/>
                <w:szCs w:val="32"/>
              </w:rPr>
            </w:pPr>
            <w:r w:rsidRPr="000A28EF">
              <w:rPr>
                <w:rFonts w:ascii="仿宋" w:eastAsia="仿宋" w:hAnsi="仿宋" w:cs="Helvetica"/>
                <w:color w:val="2C3E50"/>
                <w:sz w:val="32"/>
                <w:szCs w:val="32"/>
                <w:shd w:val="clear" w:color="auto" w:fill="F2F2F2"/>
              </w:rPr>
              <w:t>制证发证</w:t>
            </w: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证照名称</w:t>
            </w:r>
          </w:p>
        </w:tc>
        <w:tc>
          <w:tcPr>
            <w:tcW w:w="4794" w:type="dxa"/>
            <w:vAlign w:val="center"/>
          </w:tcPr>
          <w:p w:rsidR="003305CB" w:rsidRPr="000A28EF" w:rsidRDefault="003305CB" w:rsidP="003305CB">
            <w:pPr>
              <w:jc w:val="left"/>
              <w:rPr>
                <w:rFonts w:ascii="仿宋" w:eastAsia="仿宋" w:hAnsi="仿宋" w:cs="仿宋"/>
                <w:sz w:val="32"/>
                <w:szCs w:val="32"/>
              </w:rPr>
            </w:pPr>
            <w:r w:rsidRPr="000A28EF">
              <w:rPr>
                <w:rFonts w:ascii="仿宋" w:eastAsia="仿宋" w:hAnsi="仿宋" w:cs="Helvetica"/>
                <w:color w:val="2C3E50"/>
                <w:sz w:val="32"/>
                <w:szCs w:val="32"/>
              </w:rPr>
              <w:t>特种设备检验检测机构核准证</w:t>
            </w:r>
          </w:p>
        </w:tc>
      </w:tr>
      <w:tr w:rsidR="003305CB" w:rsidRPr="000A28EF" w:rsidTr="003305CB">
        <w:trPr>
          <w:trHeight w:val="662"/>
        </w:trPr>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Helvetica"/>
                <w:color w:val="2C3E50"/>
                <w:sz w:val="32"/>
                <w:szCs w:val="32"/>
                <w:shd w:val="clear" w:color="auto" w:fill="F2F2F2"/>
              </w:rPr>
            </w:pP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发证方式</w:t>
            </w:r>
          </w:p>
        </w:tc>
        <w:tc>
          <w:tcPr>
            <w:tcW w:w="4794" w:type="dxa"/>
            <w:vAlign w:val="center"/>
          </w:tcPr>
          <w:p w:rsidR="003305CB" w:rsidRPr="000A28EF" w:rsidRDefault="007A4B5A" w:rsidP="003305CB">
            <w:pPr>
              <w:jc w:val="left"/>
              <w:rPr>
                <w:rFonts w:ascii="仿宋" w:eastAsia="仿宋" w:hAnsi="仿宋" w:cs="仿宋"/>
                <w:sz w:val="32"/>
                <w:szCs w:val="32"/>
              </w:rPr>
            </w:pPr>
            <w:r w:rsidRPr="000A28EF">
              <w:rPr>
                <w:rFonts w:ascii="仿宋" w:eastAsia="仿宋" w:hAnsi="仿宋" w:cs="Helvetica"/>
                <w:color w:val="2C3E50"/>
                <w:sz w:val="32"/>
                <w:szCs w:val="32"/>
              </w:rPr>
              <w:t>现场送达、邮寄</w:t>
            </w:r>
          </w:p>
        </w:tc>
      </w:tr>
      <w:tr w:rsidR="003305CB" w:rsidRPr="000A28EF" w:rsidTr="003305CB">
        <w:trPr>
          <w:trHeight w:val="864"/>
        </w:trPr>
        <w:tc>
          <w:tcPr>
            <w:tcW w:w="592" w:type="dxa"/>
            <w:vMerge/>
            <w:vAlign w:val="center"/>
          </w:tcPr>
          <w:p w:rsidR="003305CB" w:rsidRPr="000A28EF" w:rsidRDefault="003305CB" w:rsidP="003305CB">
            <w:pPr>
              <w:jc w:val="center"/>
              <w:rPr>
                <w:rFonts w:ascii="仿宋" w:eastAsia="仿宋" w:hAnsi="仿宋" w:cs="仿宋"/>
                <w:sz w:val="32"/>
                <w:szCs w:val="32"/>
              </w:rPr>
            </w:pPr>
          </w:p>
        </w:tc>
        <w:tc>
          <w:tcPr>
            <w:tcW w:w="1609" w:type="dxa"/>
            <w:vMerge/>
            <w:vAlign w:val="center"/>
          </w:tcPr>
          <w:p w:rsidR="003305CB" w:rsidRPr="000A28EF" w:rsidRDefault="003305CB" w:rsidP="003305CB">
            <w:pPr>
              <w:jc w:val="center"/>
              <w:rPr>
                <w:rFonts w:ascii="仿宋" w:eastAsia="仿宋" w:hAnsi="仿宋" w:cs="Helvetica"/>
                <w:color w:val="2C3E50"/>
                <w:sz w:val="32"/>
                <w:szCs w:val="32"/>
                <w:shd w:val="clear" w:color="auto" w:fill="F2F2F2"/>
              </w:rPr>
            </w:pPr>
          </w:p>
        </w:tc>
        <w:tc>
          <w:tcPr>
            <w:tcW w:w="1527" w:type="dxa"/>
            <w:vAlign w:val="center"/>
          </w:tcPr>
          <w:p w:rsidR="003305CB" w:rsidRPr="000A28EF" w:rsidRDefault="003305CB" w:rsidP="003305CB">
            <w:pPr>
              <w:jc w:val="center"/>
              <w:rPr>
                <w:rFonts w:ascii="仿宋" w:eastAsia="仿宋" w:hAnsi="仿宋" w:cs="Helvetica"/>
                <w:color w:val="2C3E50"/>
                <w:sz w:val="32"/>
                <w:szCs w:val="32"/>
                <w:shd w:val="clear" w:color="auto" w:fill="F2F2F2"/>
              </w:rPr>
            </w:pPr>
            <w:r w:rsidRPr="000A28EF">
              <w:rPr>
                <w:rFonts w:ascii="仿宋" w:eastAsia="仿宋" w:hAnsi="仿宋" w:cs="Helvetica"/>
                <w:color w:val="2C3E50"/>
                <w:sz w:val="32"/>
                <w:szCs w:val="32"/>
                <w:shd w:val="clear" w:color="auto" w:fill="F2F2F2"/>
              </w:rPr>
              <w:t>办理时限（工作日）</w:t>
            </w:r>
          </w:p>
        </w:tc>
        <w:tc>
          <w:tcPr>
            <w:tcW w:w="4794" w:type="dxa"/>
            <w:vAlign w:val="center"/>
          </w:tcPr>
          <w:p w:rsidR="003305CB" w:rsidRPr="000A28EF" w:rsidRDefault="007A4B5A" w:rsidP="003305CB">
            <w:pPr>
              <w:jc w:val="left"/>
              <w:rPr>
                <w:rFonts w:ascii="仿宋" w:eastAsia="仿宋" w:hAnsi="仿宋" w:cs="Helvetica"/>
                <w:color w:val="2C3E50"/>
                <w:sz w:val="32"/>
                <w:szCs w:val="32"/>
              </w:rPr>
            </w:pPr>
            <w:r w:rsidRPr="000A28EF">
              <w:rPr>
                <w:rFonts w:ascii="仿宋" w:eastAsia="仿宋" w:hAnsi="仿宋" w:cs="Helvetica" w:hint="eastAsia"/>
                <w:color w:val="2C3E50"/>
                <w:sz w:val="32"/>
                <w:szCs w:val="32"/>
              </w:rPr>
              <w:t>1</w:t>
            </w:r>
            <w:r w:rsidR="003305CB" w:rsidRPr="000A28EF">
              <w:rPr>
                <w:rFonts w:ascii="仿宋" w:eastAsia="仿宋" w:hAnsi="仿宋" w:cs="Helvetica" w:hint="eastAsia"/>
                <w:color w:val="2C3E50"/>
                <w:sz w:val="32"/>
                <w:szCs w:val="32"/>
              </w:rPr>
              <w:t>0</w:t>
            </w:r>
          </w:p>
        </w:tc>
      </w:tr>
    </w:tbl>
    <w:p w:rsidR="00CA2146" w:rsidRPr="000A28EF" w:rsidRDefault="00CA2146" w:rsidP="00CA2146">
      <w:pPr>
        <w:rPr>
          <w:rFonts w:ascii="仿宋" w:eastAsia="仿宋" w:hAnsi="仿宋" w:cs="仿宋"/>
          <w:sz w:val="32"/>
          <w:szCs w:val="32"/>
        </w:rPr>
      </w:pPr>
      <w:r w:rsidRPr="000A28EF">
        <w:rPr>
          <w:rFonts w:ascii="仿宋" w:eastAsia="仿宋" w:hAnsi="仿宋" w:cs="仿宋" w:hint="eastAsia"/>
          <w:sz w:val="32"/>
          <w:szCs w:val="32"/>
        </w:rPr>
        <w:t>五、现场窗口申报地址</w:t>
      </w:r>
    </w:p>
    <w:p w:rsidR="00CA2146" w:rsidRPr="000A28EF" w:rsidRDefault="00CA2146" w:rsidP="00CA2146">
      <w:pPr>
        <w:rPr>
          <w:rFonts w:ascii="仿宋" w:eastAsia="仿宋" w:hAnsi="仿宋" w:cs="Helvetica"/>
          <w:color w:val="2C3E50"/>
          <w:sz w:val="32"/>
          <w:szCs w:val="32"/>
          <w:shd w:val="clear" w:color="auto" w:fill="FFFFFF"/>
        </w:rPr>
      </w:pPr>
      <w:r w:rsidRPr="000A28EF">
        <w:rPr>
          <w:rFonts w:ascii="仿宋" w:eastAsia="仿宋" w:hAnsi="仿宋" w:cs="Helvetica"/>
          <w:color w:val="2C3E50"/>
          <w:sz w:val="32"/>
          <w:szCs w:val="32"/>
          <w:shd w:val="clear" w:color="auto" w:fill="FFFFFF"/>
        </w:rPr>
        <w:t>天津市滨海新区于家堡新华路3560号</w:t>
      </w:r>
      <w:proofErr w:type="gramStart"/>
      <w:r w:rsidRPr="000A28EF">
        <w:rPr>
          <w:rFonts w:ascii="仿宋" w:eastAsia="仿宋" w:hAnsi="仿宋" w:cs="Helvetica"/>
          <w:color w:val="2C3E50"/>
          <w:sz w:val="32"/>
          <w:szCs w:val="32"/>
          <w:shd w:val="clear" w:color="auto" w:fill="FFFFFF"/>
        </w:rPr>
        <w:t>宝策大厦</w:t>
      </w:r>
      <w:proofErr w:type="gramEnd"/>
      <w:r w:rsidRPr="000A28EF">
        <w:rPr>
          <w:rFonts w:ascii="仿宋" w:eastAsia="仿宋" w:hAnsi="仿宋" w:cs="Helvetica"/>
          <w:color w:val="2C3E50"/>
          <w:sz w:val="32"/>
          <w:szCs w:val="32"/>
          <w:shd w:val="clear" w:color="auto" w:fill="FFFFFF"/>
        </w:rPr>
        <w:t>政务服务中心二楼29号窗口</w:t>
      </w:r>
    </w:p>
    <w:p w:rsidR="00CA2146" w:rsidRPr="000A28EF" w:rsidRDefault="00CA2146" w:rsidP="00CA2146">
      <w:pPr>
        <w:rPr>
          <w:rFonts w:ascii="仿宋" w:eastAsia="仿宋" w:hAnsi="仿宋" w:cs="仿宋"/>
          <w:sz w:val="32"/>
          <w:szCs w:val="32"/>
        </w:rPr>
      </w:pPr>
      <w:r w:rsidRPr="000A28EF">
        <w:rPr>
          <w:rFonts w:ascii="仿宋" w:eastAsia="仿宋" w:hAnsi="仿宋" w:cs="仿宋" w:hint="eastAsia"/>
          <w:sz w:val="32"/>
          <w:szCs w:val="32"/>
        </w:rPr>
        <w:t>六、咨询电话</w:t>
      </w:r>
    </w:p>
    <w:p w:rsidR="00CA2146" w:rsidRPr="000A28EF" w:rsidRDefault="00CA2146" w:rsidP="00CA2146">
      <w:pPr>
        <w:rPr>
          <w:rFonts w:ascii="仿宋" w:eastAsia="仿宋" w:hAnsi="仿宋" w:cs="仿宋"/>
          <w:sz w:val="32"/>
          <w:szCs w:val="32"/>
        </w:rPr>
      </w:pPr>
      <w:r w:rsidRPr="000A28EF">
        <w:rPr>
          <w:rFonts w:ascii="仿宋" w:eastAsia="仿宋" w:hAnsi="仿宋" w:cs="仿宋" w:hint="eastAsia"/>
          <w:sz w:val="32"/>
          <w:szCs w:val="32"/>
        </w:rPr>
        <w:t>022-66897878</w:t>
      </w:r>
    </w:p>
    <w:p w:rsidR="004B2336" w:rsidRPr="000A28EF" w:rsidRDefault="004B2336" w:rsidP="004B2336">
      <w:pPr>
        <w:rPr>
          <w:rFonts w:ascii="仿宋" w:eastAsia="仿宋" w:hAnsi="仿宋" w:cs="仿宋"/>
          <w:sz w:val="32"/>
          <w:szCs w:val="32"/>
        </w:rPr>
      </w:pPr>
      <w:r w:rsidRPr="000A28EF">
        <w:rPr>
          <w:rFonts w:ascii="仿宋" w:eastAsia="仿宋" w:hAnsi="仿宋" w:cs="仿宋" w:hint="eastAsia"/>
          <w:sz w:val="32"/>
          <w:szCs w:val="32"/>
        </w:rPr>
        <w:t>七、监督电话</w:t>
      </w:r>
    </w:p>
    <w:p w:rsidR="004B2336" w:rsidRPr="000A28EF" w:rsidRDefault="004B2336" w:rsidP="004B2336">
      <w:pPr>
        <w:rPr>
          <w:rFonts w:ascii="仿宋" w:eastAsia="仿宋" w:hAnsi="仿宋" w:cs="仿宋"/>
          <w:sz w:val="32"/>
          <w:szCs w:val="32"/>
        </w:rPr>
      </w:pPr>
      <w:r w:rsidRPr="000A28EF">
        <w:rPr>
          <w:rFonts w:ascii="仿宋" w:eastAsia="仿宋" w:hAnsi="仿宋" w:cs="仿宋" w:hint="eastAsia"/>
          <w:sz w:val="32"/>
          <w:szCs w:val="32"/>
        </w:rPr>
        <w:t>022-12345</w:t>
      </w:r>
    </w:p>
    <w:p w:rsidR="003305CB" w:rsidRPr="000A28EF" w:rsidRDefault="003305CB" w:rsidP="003305CB">
      <w:pPr>
        <w:widowControl/>
        <w:jc w:val="left"/>
        <w:rPr>
          <w:rFonts w:ascii="仿宋" w:eastAsia="仿宋" w:hAnsi="仿宋" w:cs="仿宋"/>
          <w:sz w:val="32"/>
          <w:szCs w:val="32"/>
        </w:rPr>
      </w:pPr>
    </w:p>
    <w:p w:rsidR="00995F69" w:rsidRPr="000A28EF" w:rsidRDefault="00995F69" w:rsidP="00995F69">
      <w:pPr>
        <w:widowControl/>
        <w:jc w:val="left"/>
        <w:rPr>
          <w:rFonts w:ascii="仿宋" w:eastAsia="仿宋" w:hAnsi="仿宋" w:cs="宋体"/>
          <w:vanish/>
          <w:kern w:val="0"/>
          <w:sz w:val="32"/>
          <w:szCs w:val="32"/>
        </w:rPr>
      </w:pPr>
    </w:p>
    <w:p w:rsidR="00995F69" w:rsidRPr="000A28EF" w:rsidRDefault="00995F69" w:rsidP="00995F69">
      <w:pPr>
        <w:widowControl/>
        <w:jc w:val="left"/>
        <w:rPr>
          <w:rFonts w:ascii="仿宋" w:eastAsia="仿宋" w:hAnsi="仿宋" w:cs="宋体"/>
          <w:vanish/>
          <w:kern w:val="0"/>
          <w:sz w:val="32"/>
          <w:szCs w:val="32"/>
        </w:rPr>
      </w:pPr>
    </w:p>
    <w:p w:rsidR="00995F69" w:rsidRPr="000A28EF" w:rsidRDefault="00995F69" w:rsidP="00995F69">
      <w:pPr>
        <w:widowControl/>
        <w:jc w:val="left"/>
        <w:rPr>
          <w:rFonts w:ascii="仿宋" w:eastAsia="仿宋" w:hAnsi="仿宋" w:cs="宋体"/>
          <w:vanish/>
          <w:kern w:val="0"/>
          <w:sz w:val="32"/>
          <w:szCs w:val="32"/>
        </w:rPr>
      </w:pPr>
    </w:p>
    <w:sectPr w:rsidR="00995F69" w:rsidRPr="000A28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E8" w:rsidRDefault="00587FE8" w:rsidP="004B2336">
      <w:r>
        <w:separator/>
      </w:r>
    </w:p>
  </w:endnote>
  <w:endnote w:type="continuationSeparator" w:id="0">
    <w:p w:rsidR="00587FE8" w:rsidRDefault="00587FE8" w:rsidP="004B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E8" w:rsidRDefault="00587FE8" w:rsidP="004B2336">
      <w:r>
        <w:separator/>
      </w:r>
    </w:p>
  </w:footnote>
  <w:footnote w:type="continuationSeparator" w:id="0">
    <w:p w:rsidR="00587FE8" w:rsidRDefault="00587FE8" w:rsidP="004B2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2D55F"/>
    <w:multiLevelType w:val="singleLevel"/>
    <w:tmpl w:val="8992D55F"/>
    <w:lvl w:ilvl="0">
      <w:start w:val="1"/>
      <w:numFmt w:val="chineseCounting"/>
      <w:suff w:val="nothing"/>
      <w:lvlText w:val="%1、"/>
      <w:lvlJc w:val="left"/>
      <w:rPr>
        <w:rFonts w:hint="eastAsia"/>
      </w:rPr>
    </w:lvl>
  </w:abstractNum>
  <w:abstractNum w:abstractNumId="1">
    <w:nsid w:val="F00884B8"/>
    <w:multiLevelType w:val="singleLevel"/>
    <w:tmpl w:val="F00884B8"/>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F"/>
    <w:rsid w:val="000A28EF"/>
    <w:rsid w:val="00315C57"/>
    <w:rsid w:val="003305CB"/>
    <w:rsid w:val="003D102F"/>
    <w:rsid w:val="004B2336"/>
    <w:rsid w:val="00587FE8"/>
    <w:rsid w:val="007A4B5A"/>
    <w:rsid w:val="007A4BA4"/>
    <w:rsid w:val="00995F69"/>
    <w:rsid w:val="009D00CA"/>
    <w:rsid w:val="00A05DE7"/>
    <w:rsid w:val="00B42521"/>
    <w:rsid w:val="00C21848"/>
    <w:rsid w:val="00CA2146"/>
    <w:rsid w:val="00FE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5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C57"/>
    <w:pPr>
      <w:widowControl/>
      <w:spacing w:before="100" w:beforeAutospacing="1" w:after="100" w:afterAutospacing="1"/>
      <w:jc w:val="left"/>
    </w:pPr>
    <w:rPr>
      <w:rFonts w:ascii="宋体" w:hAnsi="宋体" w:cs="宋体"/>
      <w:kern w:val="0"/>
      <w:sz w:val="24"/>
    </w:rPr>
  </w:style>
  <w:style w:type="character" w:customStyle="1" w:styleId="dialogs">
    <w:name w:val="dialogs"/>
    <w:basedOn w:val="a0"/>
    <w:rsid w:val="00315C57"/>
  </w:style>
  <w:style w:type="character" w:styleId="a4">
    <w:name w:val="Hyperlink"/>
    <w:basedOn w:val="a0"/>
    <w:uiPriority w:val="99"/>
    <w:semiHidden/>
    <w:unhideWhenUsed/>
    <w:rsid w:val="00315C57"/>
    <w:rPr>
      <w:color w:val="0000FF"/>
      <w:u w:val="single"/>
    </w:rPr>
  </w:style>
  <w:style w:type="table" w:styleId="a5">
    <w:name w:val="Table Grid"/>
    <w:basedOn w:val="a1"/>
    <w:rsid w:val="00995F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4B2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B2336"/>
    <w:rPr>
      <w:rFonts w:ascii="Calibri" w:eastAsia="宋体" w:hAnsi="Calibri" w:cs="Times New Roman"/>
      <w:sz w:val="18"/>
      <w:szCs w:val="18"/>
    </w:rPr>
  </w:style>
  <w:style w:type="paragraph" w:styleId="a7">
    <w:name w:val="footer"/>
    <w:basedOn w:val="a"/>
    <w:link w:val="Char0"/>
    <w:uiPriority w:val="99"/>
    <w:unhideWhenUsed/>
    <w:rsid w:val="004B2336"/>
    <w:pPr>
      <w:tabs>
        <w:tab w:val="center" w:pos="4153"/>
        <w:tab w:val="right" w:pos="8306"/>
      </w:tabs>
      <w:snapToGrid w:val="0"/>
      <w:jc w:val="left"/>
    </w:pPr>
    <w:rPr>
      <w:sz w:val="18"/>
      <w:szCs w:val="18"/>
    </w:rPr>
  </w:style>
  <w:style w:type="character" w:customStyle="1" w:styleId="Char0">
    <w:name w:val="页脚 Char"/>
    <w:basedOn w:val="a0"/>
    <w:link w:val="a7"/>
    <w:uiPriority w:val="99"/>
    <w:rsid w:val="004B233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C5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5C57"/>
    <w:pPr>
      <w:widowControl/>
      <w:spacing w:before="100" w:beforeAutospacing="1" w:after="100" w:afterAutospacing="1"/>
      <w:jc w:val="left"/>
    </w:pPr>
    <w:rPr>
      <w:rFonts w:ascii="宋体" w:hAnsi="宋体" w:cs="宋体"/>
      <w:kern w:val="0"/>
      <w:sz w:val="24"/>
    </w:rPr>
  </w:style>
  <w:style w:type="character" w:customStyle="1" w:styleId="dialogs">
    <w:name w:val="dialogs"/>
    <w:basedOn w:val="a0"/>
    <w:rsid w:val="00315C57"/>
  </w:style>
  <w:style w:type="character" w:styleId="a4">
    <w:name w:val="Hyperlink"/>
    <w:basedOn w:val="a0"/>
    <w:uiPriority w:val="99"/>
    <w:semiHidden/>
    <w:unhideWhenUsed/>
    <w:rsid w:val="00315C57"/>
    <w:rPr>
      <w:color w:val="0000FF"/>
      <w:u w:val="single"/>
    </w:rPr>
  </w:style>
  <w:style w:type="table" w:styleId="a5">
    <w:name w:val="Table Grid"/>
    <w:basedOn w:val="a1"/>
    <w:rsid w:val="00995F6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4B2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B2336"/>
    <w:rPr>
      <w:rFonts w:ascii="Calibri" w:eastAsia="宋体" w:hAnsi="Calibri" w:cs="Times New Roman"/>
      <w:sz w:val="18"/>
      <w:szCs w:val="18"/>
    </w:rPr>
  </w:style>
  <w:style w:type="paragraph" w:styleId="a7">
    <w:name w:val="footer"/>
    <w:basedOn w:val="a"/>
    <w:link w:val="Char0"/>
    <w:uiPriority w:val="99"/>
    <w:unhideWhenUsed/>
    <w:rsid w:val="004B2336"/>
    <w:pPr>
      <w:tabs>
        <w:tab w:val="center" w:pos="4153"/>
        <w:tab w:val="right" w:pos="8306"/>
      </w:tabs>
      <w:snapToGrid w:val="0"/>
      <w:jc w:val="left"/>
    </w:pPr>
    <w:rPr>
      <w:sz w:val="18"/>
      <w:szCs w:val="18"/>
    </w:rPr>
  </w:style>
  <w:style w:type="character" w:customStyle="1" w:styleId="Char0">
    <w:name w:val="页脚 Char"/>
    <w:basedOn w:val="a0"/>
    <w:link w:val="a7"/>
    <w:uiPriority w:val="99"/>
    <w:rsid w:val="004B233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5739">
      <w:bodyDiv w:val="1"/>
      <w:marLeft w:val="0"/>
      <w:marRight w:val="0"/>
      <w:marTop w:val="0"/>
      <w:marBottom w:val="0"/>
      <w:divBdr>
        <w:top w:val="none" w:sz="0" w:space="0" w:color="auto"/>
        <w:left w:val="none" w:sz="0" w:space="0" w:color="auto"/>
        <w:bottom w:val="none" w:sz="0" w:space="0" w:color="auto"/>
        <w:right w:val="none" w:sz="0" w:space="0" w:color="auto"/>
      </w:divBdr>
    </w:div>
    <w:div w:id="1363048232">
      <w:bodyDiv w:val="1"/>
      <w:marLeft w:val="0"/>
      <w:marRight w:val="0"/>
      <w:marTop w:val="0"/>
      <w:marBottom w:val="0"/>
      <w:divBdr>
        <w:top w:val="none" w:sz="0" w:space="0" w:color="auto"/>
        <w:left w:val="none" w:sz="0" w:space="0" w:color="auto"/>
        <w:bottom w:val="none" w:sz="0" w:space="0" w:color="auto"/>
        <w:right w:val="none" w:sz="0" w:space="0" w:color="auto"/>
      </w:divBdr>
    </w:div>
    <w:div w:id="1536455706">
      <w:bodyDiv w:val="1"/>
      <w:marLeft w:val="0"/>
      <w:marRight w:val="0"/>
      <w:marTop w:val="0"/>
      <w:marBottom w:val="0"/>
      <w:divBdr>
        <w:top w:val="none" w:sz="0" w:space="0" w:color="auto"/>
        <w:left w:val="none" w:sz="0" w:space="0" w:color="auto"/>
        <w:bottom w:val="none" w:sz="0" w:space="0" w:color="auto"/>
        <w:right w:val="none" w:sz="0" w:space="0" w:color="auto"/>
      </w:divBdr>
    </w:div>
    <w:div w:id="168192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aa</cp:lastModifiedBy>
  <cp:revision>7</cp:revision>
  <dcterms:created xsi:type="dcterms:W3CDTF">2022-12-30T01:56:00Z</dcterms:created>
  <dcterms:modified xsi:type="dcterms:W3CDTF">2022-12-30T07:29:00Z</dcterms:modified>
</cp:coreProperties>
</file>