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2C" w:rsidRPr="00E33F85" w:rsidRDefault="00AD182C" w:rsidP="00AD182C">
      <w:pPr>
        <w:snapToGrid w:val="0"/>
        <w:spacing w:line="200" w:lineRule="exact"/>
        <w:jc w:val="center"/>
        <w:rPr>
          <w:rFonts w:ascii="Times New Roman" w:eastAsia="仿宋_GB2312" w:hAnsi="Times New Roman"/>
          <w:sz w:val="18"/>
          <w:szCs w:val="18"/>
        </w:rPr>
      </w:pPr>
    </w:p>
    <w:p w:rsidR="00AD182C" w:rsidRDefault="00AD182C" w:rsidP="00AD182C">
      <w:pPr>
        <w:snapToGrid w:val="0"/>
        <w:spacing w:line="560" w:lineRule="exact"/>
        <w:jc w:val="center"/>
        <w:rPr>
          <w:rFonts w:ascii="仿宋_GB2312" w:eastAsia="仿宋_GB2312" w:hAnsi="Times New Roman"/>
          <w:color w:val="000000"/>
          <w:sz w:val="32"/>
          <w:szCs w:val="32"/>
        </w:rPr>
      </w:pPr>
      <w:r w:rsidRPr="00B8037D">
        <w:rPr>
          <w:rFonts w:ascii="仿宋_GB2312" w:eastAsia="仿宋_GB2312" w:hint="eastAsia"/>
          <w:color w:val="000000"/>
          <w:sz w:val="32"/>
          <w:szCs w:val="32"/>
        </w:rPr>
        <w:t>津滨市场监管</w:t>
      </w:r>
      <w:r w:rsidR="00904C3E">
        <w:rPr>
          <w:rFonts w:ascii="仿宋_GB2312" w:eastAsia="仿宋_GB2312" w:hint="eastAsia"/>
          <w:color w:val="000000"/>
          <w:sz w:val="32"/>
          <w:szCs w:val="32"/>
        </w:rPr>
        <w:t>计</w:t>
      </w:r>
      <w:r w:rsidRPr="00B8037D">
        <w:rPr>
          <w:rFonts w:ascii="仿宋_GB2312" w:eastAsia="仿宋_GB2312" w:hint="eastAsia"/>
          <w:color w:val="000000"/>
          <w:sz w:val="32"/>
          <w:szCs w:val="32"/>
        </w:rPr>
        <w:t>〔</w:t>
      </w:r>
      <w:r w:rsidR="00300DBC">
        <w:rPr>
          <w:rFonts w:ascii="仿宋_GB2312" w:eastAsia="仿宋_GB2312" w:hAnsi="Times New Roman" w:hint="eastAsia"/>
          <w:color w:val="000000"/>
          <w:sz w:val="32"/>
          <w:szCs w:val="32"/>
        </w:rPr>
        <w:t>201</w:t>
      </w:r>
      <w:r w:rsidR="00904C3E">
        <w:rPr>
          <w:rFonts w:ascii="仿宋_GB2312" w:eastAsia="仿宋_GB2312" w:hAnsi="Times New Roman" w:hint="eastAsia"/>
          <w:color w:val="000000"/>
          <w:sz w:val="32"/>
          <w:szCs w:val="32"/>
        </w:rPr>
        <w:t>9</w:t>
      </w:r>
      <w:r w:rsidRPr="00B8037D">
        <w:rPr>
          <w:rFonts w:ascii="仿宋_GB2312" w:eastAsia="仿宋_GB2312" w:hint="eastAsia"/>
          <w:color w:val="000000"/>
          <w:sz w:val="32"/>
          <w:szCs w:val="32"/>
        </w:rPr>
        <w:t>〕</w:t>
      </w:r>
      <w:r w:rsidR="000F1CBA">
        <w:rPr>
          <w:rFonts w:ascii="仿宋_GB2312" w:eastAsia="仿宋_GB2312" w:hAnsi="Times New Roman" w:hint="eastAsia"/>
          <w:sz w:val="32"/>
          <w:szCs w:val="32"/>
        </w:rPr>
        <w:t>1</w:t>
      </w:r>
      <w:r w:rsidRPr="00B8037D">
        <w:rPr>
          <w:rFonts w:ascii="仿宋_GB2312" w:eastAsia="仿宋_GB2312" w:hint="eastAsia"/>
          <w:sz w:val="32"/>
          <w:szCs w:val="32"/>
        </w:rPr>
        <w:t>号</w:t>
      </w:r>
    </w:p>
    <w:p w:rsidR="00F518E5" w:rsidRDefault="00F518E5" w:rsidP="00F518E5">
      <w:pPr>
        <w:jc w:val="center"/>
        <w:rPr>
          <w:rFonts w:ascii="方正小标宋简体" w:eastAsia="方正小标宋简体" w:hAnsi="宋体"/>
          <w:color w:val="000000"/>
          <w:sz w:val="44"/>
          <w:szCs w:val="44"/>
        </w:rPr>
      </w:pPr>
    </w:p>
    <w:p w:rsidR="00584563" w:rsidRPr="00584563" w:rsidRDefault="00584563" w:rsidP="00F518E5">
      <w:pPr>
        <w:snapToGrid w:val="0"/>
        <w:spacing w:line="620" w:lineRule="exact"/>
        <w:contextualSpacing/>
        <w:jc w:val="center"/>
        <w:rPr>
          <w:rFonts w:ascii="方正小标宋简体" w:eastAsia="方正小标宋简体" w:hAnsi="宋体"/>
          <w:color w:val="000000"/>
          <w:sz w:val="44"/>
          <w:szCs w:val="44"/>
        </w:rPr>
      </w:pPr>
      <w:r w:rsidRPr="00584563">
        <w:rPr>
          <w:rFonts w:ascii="方正小标宋简体" w:eastAsia="方正小标宋简体" w:hAnsi="宋体" w:hint="eastAsia"/>
          <w:color w:val="000000"/>
          <w:sz w:val="44"/>
          <w:szCs w:val="44"/>
        </w:rPr>
        <w:t>关于印发《2018年滨海新区计量监管报告》的通知</w:t>
      </w:r>
    </w:p>
    <w:p w:rsidR="00584563" w:rsidRPr="00584563" w:rsidRDefault="00584563" w:rsidP="00F518E5">
      <w:pPr>
        <w:snapToGrid w:val="0"/>
        <w:spacing w:line="620" w:lineRule="exact"/>
        <w:contextualSpacing/>
        <w:jc w:val="left"/>
        <w:rPr>
          <w:rFonts w:ascii="仿宋_GB2312" w:eastAsia="仿宋_GB2312"/>
          <w:color w:val="000000"/>
          <w:sz w:val="32"/>
          <w:szCs w:val="32"/>
        </w:rPr>
      </w:pPr>
    </w:p>
    <w:p w:rsidR="00584563" w:rsidRPr="00584563" w:rsidRDefault="00584563" w:rsidP="00F518E5">
      <w:pPr>
        <w:snapToGrid w:val="0"/>
        <w:spacing w:line="620" w:lineRule="exact"/>
        <w:contextualSpacing/>
        <w:jc w:val="left"/>
        <w:rPr>
          <w:rFonts w:ascii="仿宋_GB2312" w:eastAsia="仿宋_GB2312"/>
          <w:color w:val="000000"/>
          <w:sz w:val="32"/>
          <w:szCs w:val="32"/>
        </w:rPr>
      </w:pPr>
      <w:r w:rsidRPr="00584563">
        <w:rPr>
          <w:rFonts w:ascii="仿宋_GB2312" w:eastAsia="仿宋_GB2312" w:hint="eastAsia"/>
          <w:color w:val="000000"/>
          <w:sz w:val="32"/>
          <w:szCs w:val="32"/>
        </w:rPr>
        <w:t>各功能区市场监管局，各市场监管所、各直属机构、机关各处室：</w:t>
      </w:r>
    </w:p>
    <w:p w:rsidR="00584563" w:rsidRPr="00584563" w:rsidRDefault="00584563" w:rsidP="00F518E5">
      <w:pPr>
        <w:snapToGrid w:val="0"/>
        <w:spacing w:line="620" w:lineRule="exact"/>
        <w:ind w:firstLineChars="200" w:firstLine="640"/>
        <w:contextualSpacing/>
        <w:jc w:val="left"/>
        <w:rPr>
          <w:rFonts w:ascii="仿宋_GB2312" w:eastAsia="仿宋_GB2312"/>
          <w:color w:val="000000"/>
          <w:sz w:val="32"/>
          <w:szCs w:val="32"/>
        </w:rPr>
      </w:pPr>
      <w:r w:rsidRPr="00584563">
        <w:rPr>
          <w:rFonts w:ascii="仿宋_GB2312" w:eastAsia="仿宋_GB2312" w:hint="eastAsia"/>
          <w:color w:val="000000"/>
          <w:sz w:val="32"/>
          <w:szCs w:val="32"/>
        </w:rPr>
        <w:t>《2018年滨海新区计量监管报告</w:t>
      </w:r>
      <w:r>
        <w:rPr>
          <w:rFonts w:ascii="仿宋_GB2312" w:eastAsia="仿宋_GB2312" w:hint="eastAsia"/>
          <w:color w:val="000000"/>
          <w:sz w:val="32"/>
          <w:szCs w:val="32"/>
        </w:rPr>
        <w:t>》已编制完成，现予</w:t>
      </w:r>
      <w:r w:rsidRPr="00584563">
        <w:rPr>
          <w:rFonts w:ascii="仿宋_GB2312" w:eastAsia="仿宋_GB2312" w:hint="eastAsia"/>
          <w:color w:val="000000"/>
          <w:sz w:val="32"/>
          <w:szCs w:val="32"/>
        </w:rPr>
        <w:t>印发。</w:t>
      </w:r>
    </w:p>
    <w:p w:rsidR="00584563" w:rsidRPr="00584563" w:rsidRDefault="00584563" w:rsidP="00F518E5">
      <w:pPr>
        <w:snapToGrid w:val="0"/>
        <w:spacing w:line="620" w:lineRule="exact"/>
        <w:contextualSpacing/>
        <w:rPr>
          <w:rFonts w:ascii="仿宋_GB2312" w:eastAsia="仿宋_GB2312"/>
          <w:sz w:val="32"/>
          <w:szCs w:val="32"/>
        </w:rPr>
      </w:pPr>
    </w:p>
    <w:p w:rsidR="00584563" w:rsidRPr="00584563" w:rsidRDefault="00584563" w:rsidP="00F518E5">
      <w:pPr>
        <w:snapToGrid w:val="0"/>
        <w:spacing w:line="620" w:lineRule="exact"/>
        <w:contextualSpacing/>
        <w:rPr>
          <w:rFonts w:ascii="仿宋_GB2312" w:eastAsia="仿宋_GB2312"/>
          <w:sz w:val="32"/>
          <w:szCs w:val="32"/>
        </w:rPr>
      </w:pPr>
    </w:p>
    <w:p w:rsidR="00584563" w:rsidRPr="00584563" w:rsidRDefault="00584563" w:rsidP="00F518E5">
      <w:pPr>
        <w:snapToGrid w:val="0"/>
        <w:spacing w:line="620" w:lineRule="exact"/>
        <w:ind w:right="320"/>
        <w:contextualSpacing/>
        <w:jc w:val="center"/>
        <w:rPr>
          <w:rFonts w:ascii="仿宋_GB2312" w:eastAsia="仿宋_GB2312"/>
          <w:color w:val="000000"/>
          <w:sz w:val="32"/>
          <w:szCs w:val="32"/>
        </w:rPr>
      </w:pPr>
      <w:r w:rsidRPr="00584563">
        <w:rPr>
          <w:rFonts w:ascii="黑体" w:eastAsia="黑体" w:hint="eastAsia"/>
          <w:sz w:val="32"/>
          <w:szCs w:val="32"/>
        </w:rPr>
        <w:t xml:space="preserve">                          </w:t>
      </w:r>
      <w:r w:rsidRPr="00584563">
        <w:rPr>
          <w:rFonts w:ascii="仿宋_GB2312" w:eastAsia="仿宋_GB2312" w:hint="eastAsia"/>
          <w:color w:val="000000"/>
          <w:sz w:val="32"/>
          <w:szCs w:val="32"/>
        </w:rPr>
        <w:t>2019年1月</w:t>
      </w:r>
      <w:r w:rsidR="005A3F60">
        <w:rPr>
          <w:rFonts w:ascii="仿宋_GB2312" w:eastAsia="仿宋_GB2312" w:hint="eastAsia"/>
          <w:color w:val="000000"/>
          <w:sz w:val="32"/>
          <w:szCs w:val="32"/>
        </w:rPr>
        <w:t>10</w:t>
      </w:r>
      <w:r w:rsidRPr="00584563">
        <w:rPr>
          <w:rFonts w:ascii="仿宋_GB2312" w:eastAsia="仿宋_GB2312" w:hint="eastAsia"/>
          <w:color w:val="000000"/>
          <w:sz w:val="32"/>
          <w:szCs w:val="32"/>
        </w:rPr>
        <w:t>日</w:t>
      </w:r>
    </w:p>
    <w:p w:rsidR="00584563" w:rsidRPr="00584563" w:rsidRDefault="00584563" w:rsidP="00F518E5">
      <w:pPr>
        <w:snapToGrid w:val="0"/>
        <w:spacing w:line="620" w:lineRule="exact"/>
        <w:ind w:firstLineChars="221" w:firstLine="707"/>
        <w:contextualSpacing/>
        <w:rPr>
          <w:rFonts w:ascii="仿宋_GB2312" w:eastAsia="仿宋_GB2312"/>
          <w:sz w:val="32"/>
          <w:szCs w:val="32"/>
        </w:rPr>
      </w:pPr>
      <w:r w:rsidRPr="00584563">
        <w:rPr>
          <w:rFonts w:ascii="仿宋_GB2312" w:eastAsia="仿宋_GB2312" w:hint="eastAsia"/>
          <w:sz w:val="32"/>
          <w:szCs w:val="32"/>
        </w:rPr>
        <w:t>（此件主动公开）</w:t>
      </w:r>
    </w:p>
    <w:p w:rsidR="00AD182C" w:rsidRDefault="00AD182C" w:rsidP="00AD182C">
      <w:pPr>
        <w:spacing w:line="600" w:lineRule="exact"/>
        <w:rPr>
          <w:rFonts w:ascii="Times New Roman" w:eastAsia="方正小标宋简体" w:hAnsi="Times New Roman"/>
          <w:bCs/>
          <w:sz w:val="32"/>
          <w:szCs w:val="32"/>
        </w:rPr>
      </w:pPr>
    </w:p>
    <w:p w:rsidR="00F518E5" w:rsidRDefault="00F518E5" w:rsidP="00AD182C">
      <w:pPr>
        <w:spacing w:line="600" w:lineRule="exact"/>
        <w:rPr>
          <w:rFonts w:ascii="Times New Roman" w:eastAsia="方正小标宋简体" w:hAnsi="Times New Roman"/>
          <w:bCs/>
          <w:sz w:val="32"/>
          <w:szCs w:val="32"/>
        </w:rPr>
      </w:pPr>
    </w:p>
    <w:p w:rsidR="00751B38" w:rsidRPr="00584563" w:rsidRDefault="00751B38" w:rsidP="00AD182C">
      <w:pPr>
        <w:spacing w:line="600" w:lineRule="exact"/>
        <w:rPr>
          <w:rFonts w:ascii="Times New Roman" w:eastAsia="方正小标宋简体" w:hAnsi="Times New Roman"/>
          <w:bCs/>
          <w:sz w:val="32"/>
          <w:szCs w:val="32"/>
        </w:rPr>
      </w:pPr>
    </w:p>
    <w:p w:rsidR="00584563" w:rsidRPr="00486FC8" w:rsidRDefault="00584563" w:rsidP="00F518E5">
      <w:pPr>
        <w:snapToGrid w:val="0"/>
        <w:spacing w:line="620" w:lineRule="exact"/>
        <w:contextualSpacing/>
        <w:jc w:val="center"/>
        <w:rPr>
          <w:rFonts w:ascii="方正小标宋简体" w:eastAsia="方正小标宋简体" w:hAnsi="宋体" w:cs="宋体"/>
          <w:bCs/>
          <w:sz w:val="44"/>
          <w:szCs w:val="44"/>
        </w:rPr>
      </w:pPr>
      <w:bookmarkStart w:id="0" w:name="OLE_LINK13"/>
      <w:bookmarkStart w:id="1" w:name="OLE_LINK12"/>
      <w:r w:rsidRPr="00486FC8">
        <w:rPr>
          <w:rFonts w:ascii="方正小标宋简体" w:eastAsia="方正小标宋简体" w:hAnsi="宋体" w:cs="宋体" w:hint="eastAsia"/>
          <w:bCs/>
          <w:sz w:val="44"/>
          <w:szCs w:val="44"/>
        </w:rPr>
        <w:t>2018年滨海新区计量监管报告</w:t>
      </w:r>
    </w:p>
    <w:p w:rsidR="00584563" w:rsidRPr="00486FC8" w:rsidRDefault="00584563" w:rsidP="00F518E5">
      <w:pPr>
        <w:snapToGrid w:val="0"/>
        <w:spacing w:line="620" w:lineRule="exact"/>
        <w:ind w:firstLineChars="200" w:firstLine="880"/>
        <w:contextualSpacing/>
        <w:rPr>
          <w:rFonts w:ascii="方正小标宋简体" w:eastAsia="方正小标宋简体" w:hAnsi="宋体" w:cs="宋体"/>
          <w:bCs/>
          <w:sz w:val="44"/>
          <w:szCs w:val="44"/>
        </w:rPr>
      </w:pPr>
    </w:p>
    <w:p w:rsidR="00584563" w:rsidRPr="00000775" w:rsidRDefault="00584563" w:rsidP="00F518E5">
      <w:pPr>
        <w:snapToGrid w:val="0"/>
        <w:spacing w:line="620" w:lineRule="exact"/>
        <w:ind w:firstLineChars="200" w:firstLine="640"/>
        <w:contextualSpacing/>
        <w:rPr>
          <w:rFonts w:ascii="黑体" w:eastAsia="黑体" w:hAnsi="黑体"/>
          <w:bCs/>
          <w:sz w:val="32"/>
          <w:szCs w:val="32"/>
        </w:rPr>
      </w:pPr>
      <w:r w:rsidRPr="00000775">
        <w:rPr>
          <w:rFonts w:ascii="黑体" w:eastAsia="黑体" w:hAnsi="黑体" w:cs="宋体" w:hint="eastAsia"/>
          <w:color w:val="000000"/>
          <w:kern w:val="0"/>
          <w:sz w:val="32"/>
          <w:szCs w:val="32"/>
        </w:rPr>
        <w:t>一、计量检定机构情况</w:t>
      </w:r>
    </w:p>
    <w:p w:rsidR="00584563" w:rsidRPr="00000775" w:rsidRDefault="00584563" w:rsidP="00F518E5">
      <w:pPr>
        <w:snapToGrid w:val="0"/>
        <w:spacing w:line="620" w:lineRule="exact"/>
        <w:ind w:firstLineChars="200" w:firstLine="643"/>
        <w:contextualSpacing/>
        <w:rPr>
          <w:rFonts w:ascii="楷体_GB2312" w:eastAsia="楷体_GB2312"/>
          <w:b/>
          <w:sz w:val="32"/>
          <w:szCs w:val="32"/>
        </w:rPr>
      </w:pPr>
      <w:r w:rsidRPr="00000775">
        <w:rPr>
          <w:rFonts w:ascii="楷体_GB2312" w:eastAsia="楷体_GB2312" w:cs="仿宋_GB2312" w:hint="eastAsia"/>
          <w:b/>
          <w:sz w:val="32"/>
          <w:szCs w:val="32"/>
        </w:rPr>
        <w:t>（一）法定计量检定机构</w:t>
      </w:r>
    </w:p>
    <w:p w:rsidR="00584563" w:rsidRPr="00B05C01" w:rsidRDefault="00584563" w:rsidP="00F518E5">
      <w:pPr>
        <w:snapToGrid w:val="0"/>
        <w:spacing w:line="620" w:lineRule="exact"/>
        <w:ind w:firstLineChars="200" w:firstLine="640"/>
        <w:contextualSpacing/>
        <w:rPr>
          <w:rFonts w:ascii="仿宋_GB2312" w:eastAsia="仿宋_GB2312" w:cs="仿宋_GB2312"/>
          <w:sz w:val="32"/>
          <w:szCs w:val="32"/>
        </w:rPr>
      </w:pPr>
      <w:r w:rsidRPr="008C24B6">
        <w:rPr>
          <w:rFonts w:ascii="仿宋_GB2312" w:eastAsia="仿宋_GB2312" w:cs="仿宋_GB2312" w:hint="eastAsia"/>
          <w:sz w:val="32"/>
          <w:szCs w:val="32"/>
        </w:rPr>
        <w:t>滨海新区</w:t>
      </w:r>
      <w:r>
        <w:rPr>
          <w:rFonts w:ascii="仿宋_GB2312" w:eastAsia="仿宋_GB2312" w:cs="仿宋_GB2312" w:hint="eastAsia"/>
          <w:sz w:val="32"/>
          <w:szCs w:val="32"/>
        </w:rPr>
        <w:t>原</w:t>
      </w:r>
      <w:r w:rsidRPr="008C24B6">
        <w:rPr>
          <w:rFonts w:ascii="仿宋_GB2312" w:eastAsia="仿宋_GB2312" w:cs="仿宋_GB2312" w:hint="eastAsia"/>
          <w:sz w:val="32"/>
          <w:szCs w:val="32"/>
        </w:rPr>
        <w:t>依法设置的法定计量检定机构共有</w:t>
      </w:r>
      <w:r w:rsidRPr="008C24B6">
        <w:rPr>
          <w:rFonts w:ascii="仿宋_GB2312" w:eastAsia="仿宋_GB2312" w:cs="仿宋_GB2312"/>
          <w:sz w:val="32"/>
          <w:szCs w:val="32"/>
        </w:rPr>
        <w:t>5</w:t>
      </w:r>
      <w:r w:rsidRPr="008C24B6">
        <w:rPr>
          <w:rFonts w:ascii="仿宋_GB2312" w:eastAsia="仿宋_GB2312" w:cs="仿宋_GB2312" w:hint="eastAsia"/>
          <w:sz w:val="32"/>
          <w:szCs w:val="32"/>
        </w:rPr>
        <w:t>家，共建计</w:t>
      </w:r>
      <w:r w:rsidRPr="008C24B6">
        <w:rPr>
          <w:rFonts w:ascii="仿宋_GB2312" w:eastAsia="仿宋_GB2312" w:cs="仿宋_GB2312" w:hint="eastAsia"/>
          <w:sz w:val="32"/>
          <w:szCs w:val="32"/>
        </w:rPr>
        <w:lastRenderedPageBreak/>
        <w:t>量标准</w:t>
      </w:r>
      <w:r w:rsidRPr="008C24B6">
        <w:rPr>
          <w:rFonts w:ascii="仿宋_GB2312" w:eastAsia="仿宋_GB2312" w:cs="仿宋_GB2312"/>
          <w:sz w:val="32"/>
          <w:szCs w:val="32"/>
        </w:rPr>
        <w:t>6</w:t>
      </w:r>
      <w:r w:rsidR="005A3F60">
        <w:rPr>
          <w:rFonts w:ascii="仿宋_GB2312" w:eastAsia="仿宋_GB2312" w:cs="仿宋_GB2312" w:hint="eastAsia"/>
          <w:sz w:val="32"/>
          <w:szCs w:val="32"/>
        </w:rPr>
        <w:t>3</w:t>
      </w:r>
      <w:r w:rsidRPr="008C24B6">
        <w:rPr>
          <w:rFonts w:ascii="仿宋_GB2312" w:eastAsia="仿宋_GB2312" w:cs="仿宋_GB2312" w:hint="eastAsia"/>
          <w:sz w:val="32"/>
          <w:szCs w:val="32"/>
        </w:rPr>
        <w:t>项</w:t>
      </w:r>
      <w:r>
        <w:rPr>
          <w:rFonts w:ascii="仿宋_GB2312" w:eastAsia="仿宋_GB2312" w:cs="仿宋_GB2312" w:hint="eastAsia"/>
          <w:sz w:val="32"/>
          <w:szCs w:val="32"/>
        </w:rPr>
        <w:t>，</w:t>
      </w:r>
      <w:r w:rsidRPr="008C24B6">
        <w:rPr>
          <w:rFonts w:ascii="仿宋_GB2312" w:eastAsia="仿宋_GB2312" w:cs="仿宋_GB2312" w:hint="eastAsia"/>
          <w:sz w:val="32"/>
          <w:szCs w:val="32"/>
        </w:rPr>
        <w:t>可开展校准项目2项</w:t>
      </w:r>
      <w:r w:rsidRPr="009E485D">
        <w:rPr>
          <w:rFonts w:ascii="仿宋_GB2312" w:eastAsia="仿宋_GB2312" w:cs="仿宋_GB2312" w:hint="eastAsia"/>
          <w:sz w:val="32"/>
          <w:szCs w:val="32"/>
        </w:rPr>
        <w:t>。2018年初，区</w:t>
      </w:r>
      <w:r w:rsidR="00217DC9">
        <w:rPr>
          <w:rFonts w:ascii="仿宋_GB2312" w:eastAsia="仿宋_GB2312" w:cs="仿宋_GB2312" w:hint="eastAsia"/>
          <w:sz w:val="32"/>
          <w:szCs w:val="32"/>
        </w:rPr>
        <w:t>委</w:t>
      </w:r>
      <w:r w:rsidRPr="009E485D">
        <w:rPr>
          <w:rFonts w:ascii="仿宋_GB2312" w:eastAsia="仿宋_GB2312" w:cs="仿宋_GB2312" w:hint="eastAsia"/>
          <w:sz w:val="32"/>
          <w:szCs w:val="32"/>
        </w:rPr>
        <w:t>编办下发《关于调整区市场和质量监督管理局所属部分事业单位机构设置的批复》（津滨编字〔2018〕10号），批准成立天津市</w:t>
      </w:r>
      <w:bookmarkStart w:id="2" w:name="_GoBack"/>
      <w:bookmarkEnd w:id="2"/>
      <w:r w:rsidRPr="009E485D">
        <w:rPr>
          <w:rFonts w:ascii="仿宋_GB2312" w:eastAsia="仿宋_GB2312" w:cs="仿宋_GB2312" w:hint="eastAsia"/>
          <w:sz w:val="32"/>
          <w:szCs w:val="32"/>
        </w:rPr>
        <w:t>滨海新区计量检测技术中心，7月颁发事业单位法人证书，12月完成机构建立计量标准和授权考核，共建立36项计量标</w:t>
      </w:r>
      <w:r w:rsidRPr="005B32B7">
        <w:rPr>
          <w:rFonts w:ascii="仿宋_GB2312" w:eastAsia="仿宋_GB2312" w:cs="仿宋_GB2312" w:hint="eastAsia"/>
          <w:sz w:val="32"/>
          <w:szCs w:val="32"/>
        </w:rPr>
        <w:t>准，可开展的检定、校准服务项目66个。</w:t>
      </w:r>
      <w:r w:rsidRPr="008C24B6">
        <w:rPr>
          <w:rFonts w:ascii="仿宋_GB2312" w:eastAsia="仿宋_GB2312" w:cs="仿宋_GB2312" w:hint="eastAsia"/>
          <w:sz w:val="32"/>
          <w:szCs w:val="32"/>
        </w:rPr>
        <w:t>主要包括：衡器、天平砝码、压力表、加油机、</w:t>
      </w:r>
      <w:r w:rsidRPr="008C24B6">
        <w:rPr>
          <w:rFonts w:ascii="仿宋_GB2312" w:eastAsia="仿宋_GB2312" w:cs="仿宋_GB2312"/>
          <w:sz w:val="32"/>
          <w:szCs w:val="32"/>
        </w:rPr>
        <w:t>CNG</w:t>
      </w:r>
      <w:r w:rsidRPr="008C24B6">
        <w:rPr>
          <w:rFonts w:ascii="仿宋_GB2312" w:eastAsia="仿宋_GB2312" w:cs="仿宋_GB2312" w:hint="eastAsia"/>
          <w:sz w:val="32"/>
          <w:szCs w:val="32"/>
        </w:rPr>
        <w:t>加气机、计量罐、可见分光光度计、血压计、心电图机、酸度计、自动平衡式显示仪表、水表、燃气表、电学类、长度类等。</w:t>
      </w:r>
    </w:p>
    <w:bookmarkEnd w:id="0"/>
    <w:bookmarkEnd w:id="1"/>
    <w:p w:rsidR="00584563" w:rsidRPr="008C24B6" w:rsidRDefault="00584563" w:rsidP="00F518E5">
      <w:pPr>
        <w:snapToGrid w:val="0"/>
        <w:spacing w:line="620" w:lineRule="exact"/>
        <w:contextualSpacing/>
        <w:jc w:val="center"/>
        <w:rPr>
          <w:rFonts w:ascii="宋体" w:hAnsi="宋体" w:cs="仿宋_GB2312"/>
          <w:b/>
          <w:bCs/>
          <w:sz w:val="32"/>
          <w:szCs w:val="32"/>
        </w:rPr>
      </w:pPr>
      <w:r w:rsidRPr="008C24B6">
        <w:rPr>
          <w:rFonts w:ascii="宋体" w:hAnsi="宋体" w:cs="仿宋_GB2312" w:hint="eastAsia"/>
          <w:b/>
          <w:bCs/>
          <w:sz w:val="32"/>
          <w:szCs w:val="32"/>
        </w:rPr>
        <w:t>表</w:t>
      </w:r>
      <w:r>
        <w:rPr>
          <w:rFonts w:ascii="宋体" w:hAnsi="宋体" w:cs="仿宋_GB2312" w:hint="eastAsia"/>
          <w:b/>
          <w:bCs/>
          <w:sz w:val="32"/>
          <w:szCs w:val="32"/>
        </w:rPr>
        <w:t>一</w:t>
      </w:r>
      <w:r w:rsidRPr="008C24B6">
        <w:rPr>
          <w:rFonts w:ascii="宋体" w:hAnsi="宋体" w:cs="仿宋_GB2312" w:hint="eastAsia"/>
          <w:b/>
          <w:bCs/>
          <w:sz w:val="32"/>
          <w:szCs w:val="32"/>
        </w:rPr>
        <w:t>：</w:t>
      </w:r>
      <w:r>
        <w:rPr>
          <w:rFonts w:ascii="宋体" w:hAnsi="宋体" w:cs="仿宋_GB2312" w:hint="eastAsia"/>
          <w:b/>
          <w:bCs/>
          <w:sz w:val="32"/>
          <w:szCs w:val="32"/>
        </w:rPr>
        <w:t>计量技术机构整合前</w:t>
      </w:r>
      <w:r w:rsidRPr="008C24B6">
        <w:rPr>
          <w:rFonts w:ascii="宋体" w:hAnsi="宋体" w:cs="仿宋_GB2312" w:hint="eastAsia"/>
          <w:b/>
          <w:bCs/>
          <w:sz w:val="32"/>
          <w:szCs w:val="32"/>
        </w:rPr>
        <w:t>法定计量检定机构计量标准项目</w:t>
      </w: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843"/>
        <w:gridCol w:w="3452"/>
      </w:tblGrid>
      <w:tr w:rsidR="00584563" w:rsidRPr="00B94E17">
        <w:trPr>
          <w:trHeight w:val="652"/>
          <w:jc w:val="center"/>
        </w:trPr>
        <w:tc>
          <w:tcPr>
            <w:tcW w:w="1128"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序号</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机构名称</w:t>
            </w:r>
          </w:p>
        </w:tc>
        <w:tc>
          <w:tcPr>
            <w:tcW w:w="3452"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计量标准数量</w:t>
            </w:r>
          </w:p>
        </w:tc>
      </w:tr>
      <w:tr w:rsidR="00584563" w:rsidRPr="00B94E17">
        <w:trPr>
          <w:trHeight w:val="284"/>
          <w:jc w:val="center"/>
        </w:trPr>
        <w:tc>
          <w:tcPr>
            <w:tcW w:w="1128"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1</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塘沽计量检定一所</w:t>
            </w:r>
          </w:p>
        </w:tc>
        <w:tc>
          <w:tcPr>
            <w:tcW w:w="3452" w:type="dxa"/>
            <w:vMerge w:val="restart"/>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23</w:t>
            </w:r>
          </w:p>
        </w:tc>
      </w:tr>
      <w:tr w:rsidR="00584563" w:rsidRPr="00B94E17">
        <w:trPr>
          <w:trHeight w:val="284"/>
          <w:jc w:val="center"/>
        </w:trPr>
        <w:tc>
          <w:tcPr>
            <w:tcW w:w="1128" w:type="dxa"/>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2</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塘沽计量检定二所</w:t>
            </w:r>
          </w:p>
        </w:tc>
        <w:tc>
          <w:tcPr>
            <w:tcW w:w="3452" w:type="dxa"/>
            <w:vMerge/>
            <w:vAlign w:val="center"/>
          </w:tcPr>
          <w:p w:rsidR="00584563" w:rsidRPr="008C24B6" w:rsidRDefault="00584563" w:rsidP="00F518E5">
            <w:pPr>
              <w:snapToGrid w:val="0"/>
              <w:spacing w:line="620" w:lineRule="exact"/>
              <w:contextualSpacing/>
              <w:jc w:val="center"/>
              <w:rPr>
                <w:rFonts w:ascii="宋体" w:hAnsi="宋体"/>
                <w:sz w:val="24"/>
                <w:szCs w:val="24"/>
              </w:rPr>
            </w:pPr>
          </w:p>
        </w:tc>
      </w:tr>
      <w:tr w:rsidR="00584563" w:rsidRPr="00B94E17">
        <w:trPr>
          <w:trHeight w:val="536"/>
          <w:jc w:val="center"/>
        </w:trPr>
        <w:tc>
          <w:tcPr>
            <w:tcW w:w="1128" w:type="dxa"/>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3</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汉沽计量检定所</w:t>
            </w:r>
          </w:p>
        </w:tc>
        <w:tc>
          <w:tcPr>
            <w:tcW w:w="3452"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22</w:t>
            </w:r>
          </w:p>
        </w:tc>
      </w:tr>
      <w:tr w:rsidR="00584563" w:rsidRPr="00B94E17">
        <w:trPr>
          <w:trHeight w:val="536"/>
          <w:jc w:val="center"/>
        </w:trPr>
        <w:tc>
          <w:tcPr>
            <w:tcW w:w="1128" w:type="dxa"/>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4</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大港计量检定所</w:t>
            </w:r>
          </w:p>
        </w:tc>
        <w:tc>
          <w:tcPr>
            <w:tcW w:w="3452"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10</w:t>
            </w:r>
          </w:p>
        </w:tc>
      </w:tr>
      <w:tr w:rsidR="00584563" w:rsidRPr="00B94E17">
        <w:trPr>
          <w:trHeight w:val="548"/>
          <w:jc w:val="center"/>
        </w:trPr>
        <w:tc>
          <w:tcPr>
            <w:tcW w:w="1128" w:type="dxa"/>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5</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开发区计量检定所</w:t>
            </w:r>
          </w:p>
        </w:tc>
        <w:tc>
          <w:tcPr>
            <w:tcW w:w="3452"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8</w:t>
            </w:r>
          </w:p>
        </w:tc>
      </w:tr>
    </w:tbl>
    <w:p w:rsidR="00584563" w:rsidRPr="008C24B6" w:rsidRDefault="00584563" w:rsidP="00F518E5">
      <w:pPr>
        <w:snapToGrid w:val="0"/>
        <w:spacing w:line="620" w:lineRule="exact"/>
        <w:contextualSpacing/>
        <w:jc w:val="center"/>
        <w:rPr>
          <w:rFonts w:ascii="宋体" w:hAnsi="宋体" w:cs="仿宋_GB2312"/>
          <w:b/>
          <w:bCs/>
          <w:sz w:val="32"/>
          <w:szCs w:val="32"/>
        </w:rPr>
      </w:pPr>
      <w:r w:rsidRPr="008C24B6">
        <w:rPr>
          <w:rFonts w:ascii="宋体" w:hAnsi="宋体" w:cs="仿宋_GB2312" w:hint="eastAsia"/>
          <w:b/>
          <w:bCs/>
          <w:sz w:val="32"/>
          <w:szCs w:val="32"/>
        </w:rPr>
        <w:t>表</w:t>
      </w:r>
      <w:r>
        <w:rPr>
          <w:rFonts w:ascii="宋体" w:hAnsi="宋体" w:cs="仿宋_GB2312" w:hint="eastAsia"/>
          <w:b/>
          <w:bCs/>
          <w:sz w:val="32"/>
          <w:szCs w:val="32"/>
        </w:rPr>
        <w:t>二</w:t>
      </w:r>
      <w:r w:rsidRPr="008C24B6">
        <w:rPr>
          <w:rFonts w:ascii="宋体" w:hAnsi="宋体" w:cs="仿宋_GB2312" w:hint="eastAsia"/>
          <w:b/>
          <w:bCs/>
          <w:sz w:val="32"/>
          <w:szCs w:val="32"/>
        </w:rPr>
        <w:t>：</w:t>
      </w:r>
      <w:r>
        <w:rPr>
          <w:rFonts w:ascii="宋体" w:hAnsi="宋体" w:cs="仿宋_GB2312" w:hint="eastAsia"/>
          <w:b/>
          <w:bCs/>
          <w:sz w:val="32"/>
          <w:szCs w:val="32"/>
        </w:rPr>
        <w:t>计量技术机构整合后</w:t>
      </w:r>
      <w:r w:rsidRPr="008C24B6">
        <w:rPr>
          <w:rFonts w:ascii="宋体" w:hAnsi="宋体" w:cs="仿宋_GB2312" w:hint="eastAsia"/>
          <w:b/>
          <w:bCs/>
          <w:sz w:val="32"/>
          <w:szCs w:val="32"/>
        </w:rPr>
        <w:t>法定计量检定机构计量标准项目</w:t>
      </w: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843"/>
        <w:gridCol w:w="3452"/>
      </w:tblGrid>
      <w:tr w:rsidR="00584563" w:rsidRPr="008C24B6">
        <w:trPr>
          <w:trHeight w:val="652"/>
          <w:jc w:val="center"/>
        </w:trPr>
        <w:tc>
          <w:tcPr>
            <w:tcW w:w="1128"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序号</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机构名称</w:t>
            </w:r>
          </w:p>
        </w:tc>
        <w:tc>
          <w:tcPr>
            <w:tcW w:w="3452"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cs="宋体" w:hint="eastAsia"/>
                <w:sz w:val="24"/>
                <w:szCs w:val="24"/>
              </w:rPr>
              <w:t>计量标准数量</w:t>
            </w:r>
          </w:p>
        </w:tc>
      </w:tr>
      <w:tr w:rsidR="00584563" w:rsidRPr="008C24B6">
        <w:trPr>
          <w:trHeight w:val="284"/>
          <w:jc w:val="center"/>
        </w:trPr>
        <w:tc>
          <w:tcPr>
            <w:tcW w:w="1128" w:type="dxa"/>
            <w:vAlign w:val="center"/>
          </w:tcPr>
          <w:p w:rsidR="00584563" w:rsidRPr="008C24B6" w:rsidRDefault="00584563" w:rsidP="00F518E5">
            <w:pPr>
              <w:snapToGrid w:val="0"/>
              <w:spacing w:line="620" w:lineRule="exact"/>
              <w:contextualSpacing/>
              <w:jc w:val="center"/>
              <w:rPr>
                <w:rFonts w:ascii="宋体" w:hAnsi="宋体"/>
                <w:sz w:val="24"/>
                <w:szCs w:val="24"/>
              </w:rPr>
            </w:pPr>
            <w:r w:rsidRPr="008C24B6">
              <w:rPr>
                <w:rFonts w:ascii="宋体" w:hAnsi="宋体" w:hint="eastAsia"/>
                <w:sz w:val="24"/>
                <w:szCs w:val="24"/>
              </w:rPr>
              <w:t>1</w:t>
            </w:r>
          </w:p>
        </w:tc>
        <w:tc>
          <w:tcPr>
            <w:tcW w:w="2843" w:type="dxa"/>
            <w:vAlign w:val="center"/>
          </w:tcPr>
          <w:p w:rsidR="00584563" w:rsidRPr="008C24B6" w:rsidRDefault="00584563" w:rsidP="00F518E5">
            <w:pPr>
              <w:snapToGrid w:val="0"/>
              <w:spacing w:line="620" w:lineRule="exact"/>
              <w:contextualSpacing/>
              <w:jc w:val="center"/>
              <w:rPr>
                <w:rFonts w:ascii="宋体" w:hAnsi="宋体"/>
                <w:sz w:val="24"/>
                <w:szCs w:val="24"/>
              </w:rPr>
            </w:pPr>
            <w:r>
              <w:rPr>
                <w:rFonts w:ascii="宋体" w:hAnsi="宋体" w:cs="宋体" w:hint="eastAsia"/>
                <w:sz w:val="24"/>
                <w:szCs w:val="24"/>
              </w:rPr>
              <w:t>天津市滨海新区计量检</w:t>
            </w:r>
            <w:r>
              <w:rPr>
                <w:rFonts w:ascii="宋体" w:hAnsi="宋体" w:cs="宋体" w:hint="eastAsia"/>
                <w:sz w:val="24"/>
                <w:szCs w:val="24"/>
              </w:rPr>
              <w:lastRenderedPageBreak/>
              <w:t>测技术中心</w:t>
            </w:r>
          </w:p>
        </w:tc>
        <w:tc>
          <w:tcPr>
            <w:tcW w:w="3452" w:type="dxa"/>
            <w:vAlign w:val="center"/>
          </w:tcPr>
          <w:p w:rsidR="00584563" w:rsidRPr="008C24B6" w:rsidRDefault="00584563" w:rsidP="00F518E5">
            <w:pPr>
              <w:snapToGrid w:val="0"/>
              <w:spacing w:line="620" w:lineRule="exact"/>
              <w:contextualSpacing/>
              <w:jc w:val="center"/>
              <w:rPr>
                <w:rFonts w:ascii="宋体" w:hAnsi="宋体"/>
                <w:sz w:val="24"/>
                <w:szCs w:val="24"/>
              </w:rPr>
            </w:pPr>
            <w:r>
              <w:rPr>
                <w:rFonts w:ascii="宋体" w:hAnsi="宋体" w:hint="eastAsia"/>
                <w:sz w:val="24"/>
                <w:szCs w:val="24"/>
              </w:rPr>
              <w:lastRenderedPageBreak/>
              <w:t>36</w:t>
            </w:r>
          </w:p>
        </w:tc>
      </w:tr>
    </w:tbl>
    <w:p w:rsidR="00584563" w:rsidRPr="00C346C4" w:rsidRDefault="00584563" w:rsidP="00F518E5">
      <w:pPr>
        <w:snapToGrid w:val="0"/>
        <w:spacing w:line="620" w:lineRule="exact"/>
        <w:ind w:firstLineChars="200" w:firstLine="640"/>
        <w:contextualSpacing/>
        <w:rPr>
          <w:rFonts w:ascii="仿宋_GB2312" w:eastAsia="仿宋_GB2312" w:cs="仿宋_GB2312"/>
          <w:sz w:val="32"/>
          <w:szCs w:val="32"/>
        </w:rPr>
      </w:pPr>
      <w:r w:rsidRPr="00C346C4">
        <w:rPr>
          <w:rFonts w:ascii="仿宋_GB2312" w:eastAsia="仿宋_GB2312" w:cs="仿宋_GB2312" w:hint="eastAsia"/>
          <w:sz w:val="32"/>
          <w:szCs w:val="32"/>
        </w:rPr>
        <w:lastRenderedPageBreak/>
        <w:t>截至2018年12月31日，共完成强检计量器具检定</w:t>
      </w:r>
      <w:r w:rsidRPr="00C346C4">
        <w:rPr>
          <w:rFonts w:ascii="仿宋_GB2312" w:eastAsia="仿宋_GB2312" w:cs="仿宋_GB2312"/>
          <w:sz w:val="32"/>
          <w:szCs w:val="32"/>
        </w:rPr>
        <w:t>37963</w:t>
      </w:r>
      <w:r w:rsidRPr="00C346C4">
        <w:rPr>
          <w:rFonts w:ascii="仿宋_GB2312" w:eastAsia="仿宋_GB2312" w:cs="仿宋_GB2312" w:hint="eastAsia"/>
          <w:sz w:val="32"/>
          <w:szCs w:val="32"/>
        </w:rPr>
        <w:t>台件。其中贸易结算类</w:t>
      </w:r>
      <w:r w:rsidRPr="00C346C4">
        <w:rPr>
          <w:rFonts w:ascii="仿宋_GB2312" w:eastAsia="仿宋_GB2312" w:cs="仿宋_GB2312"/>
          <w:sz w:val="32"/>
          <w:szCs w:val="32"/>
        </w:rPr>
        <w:t>10101</w:t>
      </w:r>
      <w:r w:rsidRPr="00C346C4">
        <w:rPr>
          <w:rFonts w:ascii="仿宋_GB2312" w:eastAsia="仿宋_GB2312" w:cs="仿宋_GB2312" w:hint="eastAsia"/>
          <w:sz w:val="32"/>
          <w:szCs w:val="32"/>
        </w:rPr>
        <w:t>台件、安全防护类</w:t>
      </w:r>
      <w:r w:rsidRPr="00C346C4">
        <w:rPr>
          <w:rFonts w:ascii="仿宋_GB2312" w:eastAsia="仿宋_GB2312" w:cs="仿宋_GB2312"/>
          <w:sz w:val="32"/>
          <w:szCs w:val="32"/>
        </w:rPr>
        <w:t>24643</w:t>
      </w:r>
      <w:r w:rsidRPr="00C346C4">
        <w:rPr>
          <w:rFonts w:ascii="仿宋_GB2312" w:eastAsia="仿宋_GB2312" w:cs="仿宋_GB2312" w:hint="eastAsia"/>
          <w:sz w:val="32"/>
          <w:szCs w:val="32"/>
        </w:rPr>
        <w:t>台件、医疗卫生类</w:t>
      </w:r>
      <w:r w:rsidRPr="00C346C4">
        <w:rPr>
          <w:rFonts w:ascii="仿宋_GB2312" w:eastAsia="仿宋_GB2312" w:cs="仿宋_GB2312"/>
          <w:sz w:val="32"/>
          <w:szCs w:val="32"/>
        </w:rPr>
        <w:t>2725</w:t>
      </w:r>
      <w:r w:rsidRPr="00C346C4">
        <w:rPr>
          <w:rFonts w:ascii="仿宋_GB2312" w:eastAsia="仿宋_GB2312" w:cs="仿宋_GB2312" w:hint="eastAsia"/>
          <w:sz w:val="32"/>
          <w:szCs w:val="32"/>
        </w:rPr>
        <w:t>台件、环境监测类494台件。</w:t>
      </w:r>
    </w:p>
    <w:p w:rsidR="00584563" w:rsidRPr="00CB3D4C" w:rsidRDefault="00584563" w:rsidP="00584563">
      <w:pPr>
        <w:spacing w:line="600" w:lineRule="exact"/>
        <w:jc w:val="center"/>
        <w:rPr>
          <w:rFonts w:ascii="宋体" w:hAnsi="宋体" w:cs="仿宋_GB2312"/>
          <w:b/>
          <w:bCs/>
          <w:sz w:val="32"/>
          <w:szCs w:val="32"/>
          <w:shd w:val="pct15" w:color="auto" w:fill="FFFFFF"/>
        </w:rPr>
      </w:pPr>
    </w:p>
    <w:p w:rsidR="00584563" w:rsidRPr="00CB3D4C" w:rsidRDefault="00584563" w:rsidP="00584563">
      <w:pPr>
        <w:spacing w:line="600" w:lineRule="exact"/>
        <w:jc w:val="center"/>
        <w:rPr>
          <w:rFonts w:ascii="宋体" w:hAnsi="宋体" w:cs="仿宋_GB2312"/>
          <w:b/>
          <w:bCs/>
          <w:sz w:val="32"/>
          <w:szCs w:val="32"/>
          <w:shd w:val="pct15" w:color="auto" w:fill="FFFFFF"/>
        </w:rPr>
      </w:pPr>
    </w:p>
    <w:p w:rsidR="00584563" w:rsidRDefault="00584563" w:rsidP="00584563">
      <w:pPr>
        <w:spacing w:line="600" w:lineRule="exact"/>
        <w:ind w:firstLineChars="200" w:firstLine="640"/>
        <w:rPr>
          <w:rFonts w:ascii="仿宋_GB2312" w:eastAsia="仿宋_GB2312" w:cs="仿宋_GB2312"/>
          <w:sz w:val="32"/>
          <w:szCs w:val="32"/>
        </w:rPr>
      </w:pPr>
    </w:p>
    <w:p w:rsidR="00584563" w:rsidRDefault="00584563" w:rsidP="00584563">
      <w:pPr>
        <w:spacing w:line="600" w:lineRule="exact"/>
        <w:ind w:firstLineChars="200" w:firstLine="640"/>
        <w:rPr>
          <w:rFonts w:ascii="仿宋_GB2312" w:eastAsia="仿宋_GB2312" w:cs="仿宋_GB2312"/>
          <w:sz w:val="32"/>
          <w:szCs w:val="32"/>
        </w:rPr>
      </w:pPr>
    </w:p>
    <w:p w:rsidR="00584563" w:rsidRDefault="00584563" w:rsidP="00584563">
      <w:pPr>
        <w:spacing w:line="600" w:lineRule="exact"/>
        <w:ind w:firstLineChars="200" w:firstLine="640"/>
        <w:rPr>
          <w:rFonts w:ascii="仿宋_GB2312" w:eastAsia="仿宋_GB2312" w:cs="仿宋_GB2312"/>
          <w:sz w:val="32"/>
          <w:szCs w:val="32"/>
        </w:rPr>
      </w:pPr>
    </w:p>
    <w:p w:rsidR="00584563" w:rsidRDefault="00584563" w:rsidP="00584563">
      <w:pPr>
        <w:spacing w:line="600" w:lineRule="exact"/>
        <w:ind w:firstLineChars="200" w:firstLine="640"/>
        <w:rPr>
          <w:rFonts w:ascii="仿宋_GB2312" w:eastAsia="仿宋_GB2312" w:cs="仿宋_GB2312"/>
          <w:sz w:val="32"/>
          <w:szCs w:val="32"/>
        </w:rPr>
      </w:pPr>
    </w:p>
    <w:p w:rsidR="00584563" w:rsidRDefault="00584563" w:rsidP="00584563">
      <w:pPr>
        <w:spacing w:line="600" w:lineRule="exact"/>
        <w:ind w:firstLineChars="200" w:firstLine="640"/>
        <w:rPr>
          <w:rFonts w:ascii="仿宋_GB2312" w:eastAsia="仿宋_GB2312" w:cs="仿宋_GB2312"/>
          <w:sz w:val="32"/>
          <w:szCs w:val="32"/>
        </w:rPr>
      </w:pPr>
    </w:p>
    <w:p w:rsidR="00584563" w:rsidRDefault="00584563" w:rsidP="00584563">
      <w:pPr>
        <w:spacing w:line="600" w:lineRule="exact"/>
        <w:ind w:firstLineChars="200" w:firstLine="640"/>
        <w:rPr>
          <w:rFonts w:ascii="仿宋_GB2312" w:eastAsia="仿宋_GB2312" w:cs="仿宋_GB2312"/>
          <w:sz w:val="32"/>
          <w:szCs w:val="32"/>
        </w:rPr>
      </w:pPr>
    </w:p>
    <w:p w:rsidR="00584563" w:rsidRDefault="00217DC9" w:rsidP="00584563">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pt;height:229.1pt;mso-position-horizontal-relative:char;mso-position-vertical-relative:line">
            <v:imagedata r:id="rId8" o:title=""/>
          </v:shape>
        </w:pict>
      </w:r>
    </w:p>
    <w:p w:rsidR="005A3F60" w:rsidRDefault="005A3F60" w:rsidP="005A3F60">
      <w:pPr>
        <w:spacing w:line="620" w:lineRule="exact"/>
        <w:ind w:firstLineChars="200" w:firstLine="643"/>
        <w:contextualSpacing/>
        <w:jc w:val="center"/>
        <w:rPr>
          <w:rFonts w:ascii="楷体_GB2312" w:eastAsia="楷体_GB2312" w:cs="仿宋_GB2312"/>
          <w:b/>
          <w:sz w:val="32"/>
          <w:szCs w:val="32"/>
        </w:rPr>
      </w:pPr>
      <w:r w:rsidRPr="00C346C4">
        <w:rPr>
          <w:rFonts w:ascii="宋体" w:hAnsi="宋体" w:cs="仿宋_GB2312" w:hint="eastAsia"/>
          <w:b/>
          <w:bCs/>
          <w:sz w:val="32"/>
          <w:szCs w:val="32"/>
        </w:rPr>
        <w:t>图一：强制计量器具检定分布情况（台/件）</w:t>
      </w:r>
    </w:p>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（二）依法授权的计量检定机构</w:t>
      </w:r>
    </w:p>
    <w:p w:rsidR="00584563" w:rsidRPr="00A93CB4" w:rsidRDefault="00584563" w:rsidP="00BF7A50">
      <w:pPr>
        <w:spacing w:line="620" w:lineRule="exact"/>
        <w:ind w:firstLineChars="200" w:firstLine="640"/>
        <w:contextualSpacing/>
        <w:jc w:val="left"/>
        <w:rPr>
          <w:rFonts w:ascii="仿宋_GB2312" w:eastAsia="仿宋_GB2312" w:cs="仿宋_GB2312"/>
          <w:sz w:val="32"/>
          <w:szCs w:val="32"/>
        </w:rPr>
      </w:pPr>
      <w:r>
        <w:rPr>
          <w:rFonts w:ascii="仿宋_GB2312" w:eastAsia="仿宋_GB2312" w:cs="仿宋_GB2312" w:hint="eastAsia"/>
          <w:sz w:val="32"/>
          <w:szCs w:val="32"/>
        </w:rPr>
        <w:t>除上述依法设置的法定计量检定机构外，滨海新区现有</w:t>
      </w:r>
      <w:r w:rsidRPr="00662583">
        <w:rPr>
          <w:rFonts w:ascii="仿宋_GB2312" w:eastAsia="仿宋_GB2312" w:cs="仿宋_GB2312" w:hint="eastAsia"/>
          <w:sz w:val="32"/>
          <w:szCs w:val="32"/>
        </w:rPr>
        <w:t>中国石油化工股份有限公司天津分公司计量中心、中国石油大港油田检测监督评价中心</w:t>
      </w:r>
      <w:r>
        <w:rPr>
          <w:rFonts w:ascii="仿宋_GB2312" w:eastAsia="仿宋_GB2312" w:cs="仿宋_GB2312" w:hint="eastAsia"/>
          <w:sz w:val="32"/>
          <w:szCs w:val="32"/>
        </w:rPr>
        <w:t>、</w:t>
      </w:r>
      <w:r w:rsidRPr="00CB3D4C">
        <w:rPr>
          <w:rFonts w:ascii="仿宋_GB2312" w:eastAsia="仿宋_GB2312" w:cs="仿宋_GB2312" w:hint="eastAsia"/>
          <w:sz w:val="32"/>
          <w:szCs w:val="32"/>
        </w:rPr>
        <w:t>天津泰达津联电力有限公司计量所</w:t>
      </w:r>
      <w:r>
        <w:rPr>
          <w:rFonts w:ascii="仿宋_GB2312" w:eastAsia="仿宋_GB2312" w:cs="仿宋_GB2312" w:hint="eastAsia"/>
          <w:sz w:val="32"/>
          <w:szCs w:val="32"/>
        </w:rPr>
        <w:t>等6</w:t>
      </w:r>
      <w:r w:rsidRPr="00662583">
        <w:rPr>
          <w:rFonts w:ascii="仿宋_GB2312" w:eastAsia="仿宋_GB2312" w:cs="仿宋_GB2312" w:hint="eastAsia"/>
          <w:sz w:val="32"/>
          <w:szCs w:val="32"/>
        </w:rPr>
        <w:t>家取得滨海新区专项</w:t>
      </w:r>
      <w:r w:rsidRPr="00824036">
        <w:rPr>
          <w:rFonts w:ascii="仿宋_GB2312" w:eastAsia="仿宋_GB2312" w:cs="仿宋_GB2312" w:hint="eastAsia"/>
          <w:sz w:val="32"/>
          <w:szCs w:val="32"/>
        </w:rPr>
        <w:t>计量授权的计量检定机构，授权项目</w:t>
      </w:r>
      <w:r>
        <w:rPr>
          <w:rFonts w:ascii="仿宋_GB2312" w:eastAsia="仿宋_GB2312" w:cs="仿宋_GB2312" w:hint="eastAsia"/>
          <w:sz w:val="32"/>
          <w:szCs w:val="32"/>
        </w:rPr>
        <w:t>约100</w:t>
      </w:r>
      <w:r w:rsidRPr="00824036">
        <w:rPr>
          <w:rFonts w:ascii="仿宋_GB2312" w:eastAsia="仿宋_GB2312" w:cs="仿宋_GB2312" w:hint="eastAsia"/>
          <w:sz w:val="32"/>
          <w:szCs w:val="32"/>
        </w:rPr>
        <w:t>项，包括：压力表、电能表、</w:t>
      </w:r>
      <w:r>
        <w:rPr>
          <w:rFonts w:ascii="仿宋_GB2312" w:eastAsia="仿宋_GB2312" w:cs="仿宋_GB2312" w:hint="eastAsia"/>
          <w:sz w:val="32"/>
          <w:szCs w:val="32"/>
        </w:rPr>
        <w:t>水表、燃气表、</w:t>
      </w:r>
      <w:r w:rsidRPr="00824036">
        <w:rPr>
          <w:rFonts w:ascii="仿宋_GB2312" w:eastAsia="仿宋_GB2312" w:cs="仿宋_GB2312" w:hint="eastAsia"/>
          <w:sz w:val="32"/>
          <w:szCs w:val="32"/>
        </w:rPr>
        <w:t>流量计、密</w:t>
      </w:r>
      <w:r>
        <w:rPr>
          <w:rFonts w:ascii="仿宋_GB2312" w:eastAsia="仿宋_GB2312" w:cs="仿宋_GB2312" w:hint="eastAsia"/>
          <w:sz w:val="32"/>
          <w:szCs w:val="32"/>
        </w:rPr>
        <w:t>度计等。</w:t>
      </w:r>
    </w:p>
    <w:p w:rsidR="00584563" w:rsidRPr="00B05C01" w:rsidRDefault="00584563" w:rsidP="00F518E5">
      <w:pPr>
        <w:spacing w:line="620" w:lineRule="exact"/>
        <w:ind w:firstLineChars="200" w:firstLine="640"/>
        <w:contextualSpacing/>
        <w:rPr>
          <w:rFonts w:ascii="楷体_GB2312" w:eastAsia="楷体_GB2312" w:hAnsi="楷体"/>
          <w:b/>
          <w:bCs/>
          <w:sz w:val="32"/>
          <w:szCs w:val="32"/>
        </w:rPr>
      </w:pPr>
      <w:r w:rsidRPr="00000775">
        <w:rPr>
          <w:rFonts w:ascii="黑体" w:eastAsia="黑体" w:hAnsi="黑体" w:cs="楷体" w:hint="eastAsia"/>
          <w:bCs/>
          <w:sz w:val="32"/>
          <w:szCs w:val="32"/>
        </w:rPr>
        <w:lastRenderedPageBreak/>
        <w:t>二、计量标准建设情况</w:t>
      </w:r>
    </w:p>
    <w:p w:rsidR="00584563" w:rsidRDefault="00584563" w:rsidP="00F518E5">
      <w:pPr>
        <w:spacing w:line="620" w:lineRule="exact"/>
        <w:ind w:firstLineChars="200" w:firstLine="640"/>
        <w:contextualSpacing/>
        <w:rPr>
          <w:rFonts w:ascii="仿宋_GB2312" w:eastAsia="仿宋_GB2312" w:cs="仿宋_GB2312"/>
          <w:sz w:val="32"/>
          <w:szCs w:val="32"/>
        </w:rPr>
      </w:pPr>
      <w:r w:rsidRPr="00B05C01">
        <w:rPr>
          <w:rFonts w:ascii="仿宋_GB2312" w:eastAsia="仿宋_GB2312" w:cs="仿宋_GB2312" w:hint="eastAsia"/>
          <w:sz w:val="32"/>
          <w:szCs w:val="32"/>
        </w:rPr>
        <w:t>滨海新区依法设置的法定计量检定机构建立计量标准36项，取得授权的单位建立的计量标准90余项。标准范围基本涵盖了长度、质量、时间、电流、热力学温度、物质的量、光强度七个基本物理量。</w:t>
      </w:r>
      <w:r>
        <w:rPr>
          <w:rFonts w:ascii="仿宋_GB2312" w:eastAsia="仿宋_GB2312" w:cs="仿宋_GB2312" w:hint="eastAsia"/>
          <w:sz w:val="32"/>
          <w:szCs w:val="32"/>
        </w:rPr>
        <w:t xml:space="preserve"> </w:t>
      </w:r>
    </w:p>
    <w:p w:rsidR="00584563" w:rsidRPr="00000775" w:rsidRDefault="00584563" w:rsidP="00F518E5">
      <w:pPr>
        <w:spacing w:line="620" w:lineRule="exact"/>
        <w:ind w:firstLineChars="200" w:firstLine="640"/>
        <w:contextualSpacing/>
        <w:rPr>
          <w:rFonts w:ascii="黑体" w:eastAsia="黑体" w:hAnsi="黑体" w:cs="楷体"/>
          <w:bCs/>
          <w:sz w:val="32"/>
          <w:szCs w:val="32"/>
        </w:rPr>
      </w:pPr>
      <w:r w:rsidRPr="00000775">
        <w:rPr>
          <w:rFonts w:ascii="黑体" w:eastAsia="黑体" w:hAnsi="黑体" w:cs="楷体" w:hint="eastAsia"/>
          <w:bCs/>
          <w:sz w:val="32"/>
          <w:szCs w:val="32"/>
        </w:rPr>
        <w:t>三、执法检查情况</w:t>
      </w:r>
    </w:p>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（一）开展定量包装商品计量监督抽查</w:t>
      </w:r>
    </w:p>
    <w:p w:rsidR="00584563" w:rsidRDefault="00584563" w:rsidP="00F518E5">
      <w:pPr>
        <w:spacing w:line="620" w:lineRule="exact"/>
        <w:ind w:firstLineChars="200" w:firstLine="643"/>
        <w:contextualSpacing/>
        <w:rPr>
          <w:rFonts w:ascii="仿宋_GB2312" w:eastAsia="仿宋_GB2312" w:cs="仿宋_GB2312"/>
          <w:b/>
          <w:sz w:val="32"/>
          <w:szCs w:val="32"/>
        </w:rPr>
      </w:pPr>
      <w:r>
        <w:rPr>
          <w:rFonts w:ascii="仿宋_GB2312" w:eastAsia="仿宋_GB2312" w:cs="仿宋_GB2312" w:hint="eastAsia"/>
          <w:b/>
          <w:sz w:val="32"/>
          <w:szCs w:val="32"/>
        </w:rPr>
        <w:t>抽查情况：</w:t>
      </w:r>
    </w:p>
    <w:p w:rsidR="00584563" w:rsidRPr="009D12D8" w:rsidRDefault="00584563" w:rsidP="00F518E5">
      <w:pPr>
        <w:spacing w:line="620" w:lineRule="exact"/>
        <w:ind w:firstLineChars="200" w:firstLine="640"/>
        <w:contextualSpacing/>
        <w:rPr>
          <w:rFonts w:ascii="仿宋_GB2312" w:eastAsia="仿宋_GB2312" w:cs="仿宋_GB2312"/>
          <w:sz w:val="32"/>
          <w:szCs w:val="32"/>
          <w:shd w:val="pct15" w:color="auto" w:fill="FFFFFF"/>
        </w:rPr>
      </w:pPr>
      <w:r w:rsidRPr="001E1367">
        <w:rPr>
          <w:rFonts w:ascii="仿宋_GB2312" w:eastAsia="仿宋_GB2312" w:cs="仿宋_GB2312" w:hint="eastAsia"/>
          <w:sz w:val="32"/>
          <w:szCs w:val="32"/>
        </w:rPr>
        <w:t>在</w:t>
      </w:r>
      <w:r w:rsidRPr="00955D86">
        <w:rPr>
          <w:rFonts w:ascii="仿宋_GB2312" w:eastAsia="仿宋_GB2312" w:cs="仿宋_GB2312" w:hint="eastAsia"/>
          <w:sz w:val="32"/>
          <w:szCs w:val="32"/>
        </w:rPr>
        <w:t>13家销售企业，共抽查食品、日化用品、食用油、副食调料、汽车用品、电线电缆和家装用品7类商品共111批次。其中，净含量标注合格108批次，不合格3批次，抽样合格率为97.3%；净含量检验合格106批次，不合格5批次，抽样合格率为95.5%。</w:t>
      </w:r>
      <w:r w:rsidRPr="009D12D8">
        <w:rPr>
          <w:rFonts w:ascii="仿宋_GB2312" w:eastAsia="仿宋_GB2312" w:cs="仿宋_GB2312" w:hint="eastAsia"/>
          <w:sz w:val="32"/>
          <w:szCs w:val="32"/>
        </w:rPr>
        <w:t>对监督抽查不合格的定量包装商品的销售企业，区市场监管局</w:t>
      </w:r>
      <w:r>
        <w:rPr>
          <w:rFonts w:ascii="仿宋_GB2312" w:eastAsia="仿宋_GB2312" w:cs="仿宋_GB2312" w:hint="eastAsia"/>
          <w:sz w:val="32"/>
          <w:szCs w:val="32"/>
        </w:rPr>
        <w:t>已</w:t>
      </w:r>
      <w:r w:rsidRPr="009D12D8">
        <w:rPr>
          <w:rFonts w:ascii="仿宋_GB2312" w:eastAsia="仿宋_GB2312" w:cs="仿宋_GB2312" w:hint="eastAsia"/>
          <w:sz w:val="32"/>
          <w:szCs w:val="32"/>
        </w:rPr>
        <w:t>根据《中华人民共和国计量法》和《定量包装商品计量监督管理办法》等规定，</w:t>
      </w:r>
      <w:r>
        <w:rPr>
          <w:rFonts w:ascii="仿宋_GB2312" w:eastAsia="仿宋_GB2312" w:cs="仿宋_GB2312" w:hint="eastAsia"/>
          <w:sz w:val="32"/>
          <w:szCs w:val="32"/>
        </w:rPr>
        <w:t>完成不合格商品的处理工作。</w:t>
      </w:r>
    </w:p>
    <w:p w:rsidR="00584563" w:rsidRPr="009465C6" w:rsidRDefault="00584563" w:rsidP="00F518E5">
      <w:pPr>
        <w:spacing w:line="620" w:lineRule="exact"/>
        <w:ind w:firstLineChars="200" w:firstLine="643"/>
        <w:contextualSpacing/>
        <w:rPr>
          <w:rFonts w:ascii="仿宋_GB2312" w:eastAsia="仿宋_GB2312" w:cs="仿宋_GB2312"/>
          <w:b/>
          <w:sz w:val="32"/>
          <w:szCs w:val="32"/>
        </w:rPr>
      </w:pPr>
      <w:r w:rsidRPr="009465C6">
        <w:rPr>
          <w:rFonts w:ascii="仿宋_GB2312" w:eastAsia="仿宋_GB2312" w:cs="仿宋_GB2312" w:hint="eastAsia"/>
          <w:b/>
          <w:sz w:val="32"/>
          <w:szCs w:val="32"/>
        </w:rPr>
        <w:t>结果分析</w:t>
      </w:r>
      <w:r>
        <w:rPr>
          <w:rFonts w:ascii="仿宋_GB2312" w:eastAsia="仿宋_GB2312" w:cs="仿宋_GB2312" w:hint="eastAsia"/>
          <w:b/>
          <w:sz w:val="32"/>
          <w:szCs w:val="32"/>
        </w:rPr>
        <w:t>：</w:t>
      </w:r>
    </w:p>
    <w:p w:rsidR="00584563" w:rsidRPr="000D0BC5" w:rsidRDefault="00584563" w:rsidP="00F518E5">
      <w:pPr>
        <w:spacing w:line="620" w:lineRule="exact"/>
        <w:ind w:firstLineChars="200" w:firstLine="640"/>
        <w:contextualSpacing/>
        <w:rPr>
          <w:rFonts w:ascii="仿宋_GB2312" w:eastAsia="仿宋_GB2312" w:cs="仿宋_GB2312"/>
          <w:sz w:val="32"/>
          <w:szCs w:val="32"/>
        </w:rPr>
      </w:pPr>
      <w:r w:rsidRPr="000D0BC5">
        <w:rPr>
          <w:rFonts w:ascii="仿宋_GB2312" w:eastAsia="仿宋_GB2312" w:cs="仿宋_GB2312" w:hint="eastAsia"/>
          <w:sz w:val="32"/>
          <w:szCs w:val="32"/>
        </w:rPr>
        <w:t>通过此次抽查及同比情况分析，净含量标注和净含量检验合格率与去年同比呈上升趋势。其中日化用品类、食品类和副食调料类定量包装商品的标注及净含量抽验合格率较高，一直保持较平稳态势；食品和汽车用品类定量包装商品的标注及净含量抽验</w:t>
      </w:r>
      <w:r w:rsidRPr="000D0BC5">
        <w:rPr>
          <w:rFonts w:ascii="仿宋_GB2312" w:eastAsia="仿宋_GB2312" w:cs="仿宋_GB2312" w:hint="eastAsia"/>
          <w:sz w:val="32"/>
          <w:szCs w:val="32"/>
        </w:rPr>
        <w:lastRenderedPageBreak/>
        <w:t>合格率相对较低。</w:t>
      </w:r>
    </w:p>
    <w:p w:rsidR="00584563" w:rsidRDefault="00584563" w:rsidP="00F518E5">
      <w:pPr>
        <w:spacing w:line="620" w:lineRule="exact"/>
        <w:ind w:firstLineChars="200" w:firstLine="640"/>
        <w:contextualSpacing/>
        <w:rPr>
          <w:rFonts w:ascii="仿宋_GB2312" w:eastAsia="仿宋_GB2312" w:cs="仿宋_GB2312"/>
          <w:sz w:val="32"/>
          <w:szCs w:val="32"/>
        </w:rPr>
      </w:pPr>
      <w:r w:rsidRPr="000D0BC5">
        <w:rPr>
          <w:rFonts w:ascii="仿宋_GB2312" w:eastAsia="仿宋_GB2312" w:cs="仿宋_GB2312" w:hint="eastAsia"/>
          <w:sz w:val="32"/>
          <w:szCs w:val="32"/>
        </w:rPr>
        <w:t>针对食品和汽车用品类定量包装商品抽验合格率普遍较低的商品类别，各销售企业积极落实主体责任，完善进货标准等计量管理制度，规范计量管理行为，将定量包装是否符合计量要求纳入进货考察标准等，维护消费者合法权益。</w:t>
      </w:r>
    </w:p>
    <w:p w:rsidR="00584563" w:rsidRDefault="00584563" w:rsidP="00F518E5">
      <w:pPr>
        <w:spacing w:line="620" w:lineRule="exact"/>
        <w:contextualSpacing/>
        <w:jc w:val="center"/>
        <w:rPr>
          <w:rFonts w:ascii="宋体" w:hAnsi="宋体" w:cs="仿宋_GB2312"/>
          <w:b/>
          <w:bCs/>
          <w:sz w:val="32"/>
          <w:szCs w:val="32"/>
        </w:rPr>
      </w:pPr>
      <w:r w:rsidRPr="00226AF8">
        <w:rPr>
          <w:rFonts w:ascii="宋体" w:hAnsi="宋体" w:cs="仿宋_GB2312" w:hint="eastAsia"/>
          <w:b/>
          <w:bCs/>
          <w:sz w:val="32"/>
          <w:szCs w:val="32"/>
        </w:rPr>
        <w:t>表</w:t>
      </w:r>
      <w:r>
        <w:rPr>
          <w:rFonts w:ascii="宋体" w:hAnsi="宋体" w:cs="仿宋_GB2312" w:hint="eastAsia"/>
          <w:b/>
          <w:bCs/>
          <w:sz w:val="32"/>
          <w:szCs w:val="32"/>
        </w:rPr>
        <w:t>三</w:t>
      </w:r>
      <w:r w:rsidRPr="00226AF8">
        <w:rPr>
          <w:rFonts w:ascii="宋体" w:hAnsi="宋体" w:cs="仿宋_GB2312" w:hint="eastAsia"/>
          <w:b/>
          <w:bCs/>
          <w:sz w:val="32"/>
          <w:szCs w:val="32"/>
        </w:rPr>
        <w:t>：流通领域定量包装商品监督抽查情况</w:t>
      </w:r>
      <w:r>
        <w:rPr>
          <w:rFonts w:ascii="宋体" w:hAnsi="宋体" w:cs="仿宋_GB2312" w:hint="eastAsia"/>
          <w:b/>
          <w:bCs/>
          <w:sz w:val="32"/>
          <w:szCs w:val="32"/>
        </w:rPr>
        <w:t>与</w:t>
      </w:r>
      <w:r w:rsidRPr="00955D86">
        <w:rPr>
          <w:rFonts w:ascii="宋体" w:hAnsi="宋体" w:cs="仿宋_GB2312" w:hint="eastAsia"/>
          <w:b/>
          <w:bCs/>
          <w:sz w:val="32"/>
          <w:szCs w:val="32"/>
        </w:rPr>
        <w:t>结果分析</w:t>
      </w:r>
    </w:p>
    <w:tbl>
      <w:tblPr>
        <w:tblW w:w="9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6"/>
        <w:gridCol w:w="992"/>
        <w:gridCol w:w="709"/>
        <w:gridCol w:w="1276"/>
        <w:gridCol w:w="1134"/>
        <w:gridCol w:w="1275"/>
        <w:gridCol w:w="993"/>
        <w:gridCol w:w="1134"/>
        <w:gridCol w:w="1275"/>
      </w:tblGrid>
      <w:tr w:rsidR="00584563" w:rsidRPr="00104282">
        <w:trPr>
          <w:trHeight w:val="734"/>
        </w:trPr>
        <w:tc>
          <w:tcPr>
            <w:tcW w:w="506"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b/>
                <w:bCs/>
                <w:spacing w:val="-20"/>
                <w:kern w:val="0"/>
              </w:rPr>
            </w:pPr>
            <w:r w:rsidRPr="00104282">
              <w:rPr>
                <w:rFonts w:ascii="仿宋_GB2312" w:eastAsia="仿宋_GB2312" w:hAnsi="宋体" w:cs="仿宋_GB2312" w:hint="eastAsia"/>
                <w:b/>
                <w:bCs/>
                <w:spacing w:val="-20"/>
                <w:kern w:val="0"/>
              </w:rPr>
              <w:t>序号</w:t>
            </w:r>
          </w:p>
        </w:tc>
        <w:tc>
          <w:tcPr>
            <w:tcW w:w="992"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b/>
                <w:bCs/>
                <w:spacing w:val="-20"/>
                <w:kern w:val="0"/>
              </w:rPr>
            </w:pPr>
            <w:r w:rsidRPr="00104282">
              <w:rPr>
                <w:rFonts w:ascii="仿宋_GB2312" w:eastAsia="仿宋_GB2312" w:hAnsi="宋体" w:cs="仿宋_GB2312" w:hint="eastAsia"/>
                <w:b/>
                <w:bCs/>
                <w:spacing w:val="-20"/>
                <w:kern w:val="0"/>
              </w:rPr>
              <w:t>商品种类</w:t>
            </w:r>
          </w:p>
        </w:tc>
        <w:tc>
          <w:tcPr>
            <w:tcW w:w="709"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b/>
                <w:bCs/>
                <w:spacing w:val="-20"/>
                <w:kern w:val="0"/>
              </w:rPr>
            </w:pPr>
            <w:r w:rsidRPr="00104282">
              <w:rPr>
                <w:rFonts w:ascii="仿宋_GB2312" w:eastAsia="仿宋_GB2312" w:hAnsi="宋体" w:cs="仿宋_GB2312" w:hint="eastAsia"/>
                <w:b/>
                <w:bCs/>
                <w:spacing w:val="-20"/>
                <w:kern w:val="0"/>
              </w:rPr>
              <w:t>批次</w:t>
            </w:r>
          </w:p>
        </w:tc>
        <w:tc>
          <w:tcPr>
            <w:tcW w:w="1276"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b/>
                <w:bCs/>
                <w:spacing w:val="-20"/>
                <w:kern w:val="0"/>
              </w:rPr>
            </w:pPr>
            <w:r w:rsidRPr="00104282">
              <w:rPr>
                <w:rFonts w:ascii="仿宋_GB2312" w:eastAsia="仿宋_GB2312" w:hAnsi="宋体" w:cs="仿宋_GB2312" w:hint="eastAsia"/>
                <w:b/>
                <w:bCs/>
                <w:spacing w:val="-20"/>
                <w:kern w:val="0"/>
              </w:rPr>
              <w:t>净含量标注合格数量（批次）</w:t>
            </w:r>
          </w:p>
        </w:tc>
        <w:tc>
          <w:tcPr>
            <w:tcW w:w="1134"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b/>
                <w:bCs/>
                <w:spacing w:val="-20"/>
                <w:kern w:val="0"/>
              </w:rPr>
            </w:pPr>
            <w:r w:rsidRPr="00104282">
              <w:rPr>
                <w:rFonts w:ascii="仿宋_GB2312" w:eastAsia="仿宋_GB2312" w:hAnsi="宋体" w:cs="仿宋_GB2312" w:hint="eastAsia"/>
                <w:b/>
                <w:bCs/>
                <w:spacing w:val="-20"/>
                <w:kern w:val="0"/>
              </w:rPr>
              <w:t>净含量标注合格率（%）</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b/>
                <w:bCs/>
                <w:spacing w:val="-20"/>
                <w:kern w:val="0"/>
              </w:rPr>
            </w:pPr>
            <w:r w:rsidRPr="00104282">
              <w:rPr>
                <w:rFonts w:ascii="仿宋_GB2312" w:eastAsia="仿宋_GB2312" w:hAnsi="宋体" w:cs="仿宋_GB2312" w:hint="eastAsia"/>
                <w:b/>
                <w:bCs/>
                <w:spacing w:val="-20"/>
                <w:kern w:val="0"/>
              </w:rPr>
              <w:t>净含量标注合格率与去年同期相比变化情况</w:t>
            </w:r>
          </w:p>
        </w:tc>
        <w:tc>
          <w:tcPr>
            <w:tcW w:w="993"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b/>
                <w:bCs/>
                <w:spacing w:val="-20"/>
                <w:kern w:val="0"/>
              </w:rPr>
            </w:pPr>
            <w:r w:rsidRPr="00104282">
              <w:rPr>
                <w:rFonts w:ascii="仿宋_GB2312" w:eastAsia="仿宋_GB2312" w:hAnsi="宋体" w:cs="仿宋_GB2312" w:hint="eastAsia"/>
                <w:b/>
                <w:bCs/>
                <w:spacing w:val="-20"/>
                <w:kern w:val="0"/>
              </w:rPr>
              <w:t>净含量合格数量（批次）</w:t>
            </w:r>
          </w:p>
        </w:tc>
        <w:tc>
          <w:tcPr>
            <w:tcW w:w="1134"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b/>
                <w:bCs/>
                <w:spacing w:val="-20"/>
                <w:kern w:val="0"/>
              </w:rPr>
            </w:pPr>
            <w:r w:rsidRPr="00104282">
              <w:rPr>
                <w:rFonts w:ascii="仿宋_GB2312" w:eastAsia="仿宋_GB2312" w:hAnsi="宋体" w:cs="仿宋_GB2312" w:hint="eastAsia"/>
                <w:b/>
                <w:bCs/>
                <w:spacing w:val="-20"/>
                <w:kern w:val="0"/>
              </w:rPr>
              <w:t>净含量合格率（%）</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b/>
                <w:bCs/>
                <w:spacing w:val="-20"/>
                <w:kern w:val="0"/>
              </w:rPr>
            </w:pPr>
            <w:r w:rsidRPr="00104282">
              <w:rPr>
                <w:rFonts w:ascii="仿宋_GB2312" w:eastAsia="仿宋_GB2312" w:hAnsi="宋体" w:cs="仿宋_GB2312" w:hint="eastAsia"/>
                <w:b/>
                <w:bCs/>
                <w:spacing w:val="-20"/>
                <w:kern w:val="0"/>
              </w:rPr>
              <w:t>净含量合格率与去年同期相比变化情况</w:t>
            </w:r>
          </w:p>
        </w:tc>
      </w:tr>
      <w:tr w:rsidR="00584563" w:rsidRPr="00104282">
        <w:trPr>
          <w:trHeight w:val="403"/>
        </w:trPr>
        <w:tc>
          <w:tcPr>
            <w:tcW w:w="506"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kern w:val="0"/>
              </w:rPr>
            </w:pPr>
          </w:p>
        </w:tc>
        <w:tc>
          <w:tcPr>
            <w:tcW w:w="992"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总体情况</w:t>
            </w:r>
          </w:p>
        </w:tc>
        <w:tc>
          <w:tcPr>
            <w:tcW w:w="709"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111</w:t>
            </w:r>
          </w:p>
        </w:tc>
        <w:tc>
          <w:tcPr>
            <w:tcW w:w="1276"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108</w:t>
            </w:r>
          </w:p>
        </w:tc>
        <w:tc>
          <w:tcPr>
            <w:tcW w:w="1134"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97.3%</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w:t>
            </w:r>
          </w:p>
        </w:tc>
        <w:tc>
          <w:tcPr>
            <w:tcW w:w="993"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106</w:t>
            </w:r>
          </w:p>
        </w:tc>
        <w:tc>
          <w:tcPr>
            <w:tcW w:w="1134"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95.5%</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w:t>
            </w:r>
          </w:p>
        </w:tc>
      </w:tr>
      <w:tr w:rsidR="00584563" w:rsidRPr="00104282">
        <w:trPr>
          <w:trHeight w:val="403"/>
        </w:trPr>
        <w:tc>
          <w:tcPr>
            <w:tcW w:w="506"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kern w:val="0"/>
              </w:rPr>
            </w:pPr>
            <w:r w:rsidRPr="00104282">
              <w:rPr>
                <w:rFonts w:ascii="仿宋_GB2312" w:eastAsia="仿宋_GB2312" w:hAnsi="宋体" w:hint="eastAsia"/>
                <w:kern w:val="0"/>
              </w:rPr>
              <w:t>1</w:t>
            </w:r>
          </w:p>
        </w:tc>
        <w:tc>
          <w:tcPr>
            <w:tcW w:w="992"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食品</w:t>
            </w:r>
          </w:p>
        </w:tc>
        <w:tc>
          <w:tcPr>
            <w:tcW w:w="709"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59</w:t>
            </w:r>
          </w:p>
        </w:tc>
        <w:tc>
          <w:tcPr>
            <w:tcW w:w="1276"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57</w:t>
            </w:r>
          </w:p>
        </w:tc>
        <w:tc>
          <w:tcPr>
            <w:tcW w:w="1134"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96.6%</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w:t>
            </w:r>
          </w:p>
        </w:tc>
        <w:tc>
          <w:tcPr>
            <w:tcW w:w="993"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56</w:t>
            </w:r>
          </w:p>
        </w:tc>
        <w:tc>
          <w:tcPr>
            <w:tcW w:w="1134" w:type="dxa"/>
            <w:shd w:val="clear" w:color="auto" w:fill="auto"/>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94.9%</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w:t>
            </w:r>
          </w:p>
        </w:tc>
      </w:tr>
      <w:tr w:rsidR="00584563" w:rsidRPr="00104282">
        <w:trPr>
          <w:trHeight w:val="576"/>
        </w:trPr>
        <w:tc>
          <w:tcPr>
            <w:tcW w:w="50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2</w:t>
            </w:r>
          </w:p>
        </w:tc>
        <w:tc>
          <w:tcPr>
            <w:tcW w:w="992"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日化用品</w:t>
            </w:r>
          </w:p>
        </w:tc>
        <w:tc>
          <w:tcPr>
            <w:tcW w:w="709"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17</w:t>
            </w:r>
          </w:p>
        </w:tc>
        <w:tc>
          <w:tcPr>
            <w:tcW w:w="127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16</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94.1%</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spacing w:val="-20"/>
                <w:kern w:val="0"/>
              </w:rPr>
              <w:t>↓</w:t>
            </w:r>
          </w:p>
        </w:tc>
        <w:tc>
          <w:tcPr>
            <w:tcW w:w="993"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17</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spacing w:val="-20"/>
                <w:kern w:val="0"/>
              </w:rPr>
              <w:t>↑</w:t>
            </w:r>
          </w:p>
        </w:tc>
      </w:tr>
      <w:tr w:rsidR="00584563" w:rsidRPr="00104282">
        <w:trPr>
          <w:trHeight w:val="576"/>
        </w:trPr>
        <w:tc>
          <w:tcPr>
            <w:tcW w:w="50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3</w:t>
            </w:r>
          </w:p>
        </w:tc>
        <w:tc>
          <w:tcPr>
            <w:tcW w:w="992"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食用油</w:t>
            </w:r>
          </w:p>
        </w:tc>
        <w:tc>
          <w:tcPr>
            <w:tcW w:w="709"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7</w:t>
            </w:r>
          </w:p>
        </w:tc>
        <w:tc>
          <w:tcPr>
            <w:tcW w:w="127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7</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w:t>
            </w:r>
          </w:p>
        </w:tc>
        <w:tc>
          <w:tcPr>
            <w:tcW w:w="993"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7</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w:t>
            </w:r>
          </w:p>
        </w:tc>
      </w:tr>
      <w:tr w:rsidR="00584563" w:rsidRPr="00104282">
        <w:trPr>
          <w:trHeight w:val="576"/>
        </w:trPr>
        <w:tc>
          <w:tcPr>
            <w:tcW w:w="50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4</w:t>
            </w:r>
          </w:p>
        </w:tc>
        <w:tc>
          <w:tcPr>
            <w:tcW w:w="992"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副食调料</w:t>
            </w:r>
          </w:p>
        </w:tc>
        <w:tc>
          <w:tcPr>
            <w:tcW w:w="709"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18</w:t>
            </w:r>
          </w:p>
        </w:tc>
        <w:tc>
          <w:tcPr>
            <w:tcW w:w="127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18</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持平</w:t>
            </w:r>
          </w:p>
        </w:tc>
        <w:tc>
          <w:tcPr>
            <w:tcW w:w="993"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18</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spacing w:val="-20"/>
                <w:kern w:val="0"/>
              </w:rPr>
              <w:t>↑</w:t>
            </w:r>
          </w:p>
        </w:tc>
      </w:tr>
      <w:tr w:rsidR="00584563" w:rsidRPr="00104282">
        <w:trPr>
          <w:trHeight w:val="576"/>
        </w:trPr>
        <w:tc>
          <w:tcPr>
            <w:tcW w:w="50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5</w:t>
            </w:r>
          </w:p>
        </w:tc>
        <w:tc>
          <w:tcPr>
            <w:tcW w:w="992"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汽车用品</w:t>
            </w:r>
          </w:p>
        </w:tc>
        <w:tc>
          <w:tcPr>
            <w:tcW w:w="709"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7</w:t>
            </w:r>
          </w:p>
        </w:tc>
        <w:tc>
          <w:tcPr>
            <w:tcW w:w="127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7</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spacing w:val="-20"/>
                <w:kern w:val="0"/>
              </w:rPr>
              <w:t>↑</w:t>
            </w:r>
          </w:p>
        </w:tc>
        <w:tc>
          <w:tcPr>
            <w:tcW w:w="993"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5</w:t>
            </w:r>
          </w:p>
        </w:tc>
        <w:tc>
          <w:tcPr>
            <w:tcW w:w="1134"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71.4%</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spacing w:val="-20"/>
                <w:kern w:val="0"/>
              </w:rPr>
              <w:t>↑</w:t>
            </w:r>
          </w:p>
        </w:tc>
      </w:tr>
      <w:tr w:rsidR="00584563" w:rsidRPr="00104282">
        <w:trPr>
          <w:trHeight w:val="576"/>
        </w:trPr>
        <w:tc>
          <w:tcPr>
            <w:tcW w:w="50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6</w:t>
            </w:r>
          </w:p>
        </w:tc>
        <w:tc>
          <w:tcPr>
            <w:tcW w:w="992"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电线电缆</w:t>
            </w:r>
          </w:p>
        </w:tc>
        <w:tc>
          <w:tcPr>
            <w:tcW w:w="709"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2</w:t>
            </w:r>
          </w:p>
        </w:tc>
        <w:tc>
          <w:tcPr>
            <w:tcW w:w="127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2</w:t>
            </w:r>
          </w:p>
        </w:tc>
        <w:tc>
          <w:tcPr>
            <w:tcW w:w="1134" w:type="dxa"/>
            <w:vAlign w:val="center"/>
          </w:tcPr>
          <w:p w:rsidR="00584563" w:rsidRPr="00104282" w:rsidRDefault="00584563" w:rsidP="00F518E5">
            <w:pPr>
              <w:spacing w:line="620" w:lineRule="exact"/>
              <w:contextualSpacing/>
              <w:jc w:val="cente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w:t>
            </w:r>
          </w:p>
        </w:tc>
        <w:tc>
          <w:tcPr>
            <w:tcW w:w="993"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2</w:t>
            </w:r>
          </w:p>
        </w:tc>
        <w:tc>
          <w:tcPr>
            <w:tcW w:w="1134" w:type="dxa"/>
            <w:vAlign w:val="center"/>
          </w:tcPr>
          <w:p w:rsidR="00584563" w:rsidRPr="00104282" w:rsidRDefault="00584563" w:rsidP="00F518E5">
            <w:pPr>
              <w:spacing w:line="620" w:lineRule="exact"/>
              <w:contextualSpacing/>
              <w:jc w:val="cente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w:t>
            </w:r>
          </w:p>
        </w:tc>
      </w:tr>
      <w:tr w:rsidR="00584563" w:rsidRPr="00104282">
        <w:trPr>
          <w:trHeight w:val="576"/>
        </w:trPr>
        <w:tc>
          <w:tcPr>
            <w:tcW w:w="50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7</w:t>
            </w:r>
          </w:p>
        </w:tc>
        <w:tc>
          <w:tcPr>
            <w:tcW w:w="992"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spacing w:val="-20"/>
                <w:kern w:val="0"/>
              </w:rPr>
            </w:pPr>
            <w:r w:rsidRPr="00104282">
              <w:rPr>
                <w:rFonts w:ascii="仿宋_GB2312" w:eastAsia="仿宋_GB2312" w:hAnsi="宋体" w:cs="仿宋_GB2312" w:hint="eastAsia"/>
                <w:spacing w:val="-20"/>
                <w:kern w:val="0"/>
              </w:rPr>
              <w:t>家装用品</w:t>
            </w:r>
          </w:p>
        </w:tc>
        <w:tc>
          <w:tcPr>
            <w:tcW w:w="709"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w:t>
            </w:r>
          </w:p>
        </w:tc>
        <w:tc>
          <w:tcPr>
            <w:tcW w:w="1276"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w:t>
            </w:r>
          </w:p>
        </w:tc>
        <w:tc>
          <w:tcPr>
            <w:tcW w:w="1134" w:type="dxa"/>
            <w:vAlign w:val="center"/>
          </w:tcPr>
          <w:p w:rsidR="00584563" w:rsidRPr="00104282" w:rsidRDefault="00584563" w:rsidP="00F518E5">
            <w:pPr>
              <w:spacing w:line="620" w:lineRule="exact"/>
              <w:contextualSpacing/>
              <w:jc w:val="cente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w:t>
            </w:r>
          </w:p>
        </w:tc>
        <w:tc>
          <w:tcPr>
            <w:tcW w:w="993"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1</w:t>
            </w:r>
          </w:p>
        </w:tc>
        <w:tc>
          <w:tcPr>
            <w:tcW w:w="1134" w:type="dxa"/>
            <w:vAlign w:val="center"/>
          </w:tcPr>
          <w:p w:rsidR="00584563" w:rsidRPr="00104282" w:rsidRDefault="00584563" w:rsidP="00F518E5">
            <w:pPr>
              <w:spacing w:line="620" w:lineRule="exact"/>
              <w:contextualSpacing/>
              <w:jc w:val="center"/>
            </w:pPr>
            <w:r w:rsidRPr="00104282">
              <w:rPr>
                <w:rFonts w:ascii="仿宋_GB2312" w:eastAsia="仿宋_GB2312" w:hAnsi="宋体" w:cs="仿宋_GB2312" w:hint="eastAsia"/>
                <w:kern w:val="0"/>
              </w:rPr>
              <w:t>100%</w:t>
            </w:r>
          </w:p>
        </w:tc>
        <w:tc>
          <w:tcPr>
            <w:tcW w:w="1275" w:type="dxa"/>
            <w:vAlign w:val="center"/>
          </w:tcPr>
          <w:p w:rsidR="00584563" w:rsidRPr="00104282" w:rsidRDefault="00584563" w:rsidP="00F518E5">
            <w:pPr>
              <w:widowControl/>
              <w:spacing w:line="620" w:lineRule="exact"/>
              <w:contextualSpacing/>
              <w:jc w:val="center"/>
              <w:rPr>
                <w:rFonts w:ascii="仿宋_GB2312" w:eastAsia="仿宋_GB2312" w:hAnsi="宋体" w:cs="仿宋_GB2312"/>
                <w:kern w:val="0"/>
              </w:rPr>
            </w:pPr>
            <w:r w:rsidRPr="00104282">
              <w:rPr>
                <w:rFonts w:ascii="仿宋_GB2312" w:eastAsia="仿宋_GB2312" w:hAnsi="宋体" w:cs="仿宋_GB2312" w:hint="eastAsia"/>
                <w:kern w:val="0"/>
              </w:rPr>
              <w:t>--</w:t>
            </w:r>
          </w:p>
        </w:tc>
      </w:tr>
    </w:tbl>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（二）做好能源计量监管工作</w:t>
      </w:r>
    </w:p>
    <w:p w:rsidR="00584563" w:rsidRPr="00A93CB4" w:rsidRDefault="00584563" w:rsidP="00F518E5">
      <w:pPr>
        <w:spacing w:line="620" w:lineRule="exact"/>
        <w:ind w:firstLineChars="200" w:firstLine="640"/>
        <w:contextualSpacing/>
        <w:rPr>
          <w:rFonts w:ascii="仿宋_GB2312" w:eastAsia="仿宋_GB2312" w:cs="仿宋_GB2312"/>
          <w:sz w:val="32"/>
          <w:szCs w:val="32"/>
        </w:rPr>
      </w:pPr>
      <w:r>
        <w:rPr>
          <w:rFonts w:ascii="仿宋_GB2312" w:eastAsia="仿宋_GB2312" w:cs="仿宋_GB2312" w:hint="eastAsia"/>
          <w:sz w:val="32"/>
          <w:szCs w:val="32"/>
        </w:rPr>
        <w:t>组织对</w:t>
      </w:r>
      <w:r w:rsidRPr="001E1367">
        <w:rPr>
          <w:rFonts w:ascii="仿宋_GB2312" w:eastAsia="仿宋_GB2312" w:cs="仿宋_GB2312" w:hint="eastAsia"/>
          <w:sz w:val="32"/>
          <w:szCs w:val="32"/>
        </w:rPr>
        <w:t>辖区内用能单位能源计量工作情况开展监督检查，督</w:t>
      </w:r>
      <w:r w:rsidRPr="001E1367">
        <w:rPr>
          <w:rFonts w:ascii="仿宋_GB2312" w:eastAsia="仿宋_GB2312" w:cs="仿宋_GB2312" w:hint="eastAsia"/>
          <w:sz w:val="32"/>
          <w:szCs w:val="32"/>
        </w:rPr>
        <w:lastRenderedPageBreak/>
        <w:t>促用能单位落实主体责任。</w:t>
      </w:r>
      <w:r>
        <w:rPr>
          <w:rFonts w:ascii="仿宋_GB2312" w:eastAsia="仿宋_GB2312" w:cs="仿宋_GB2312" w:hint="eastAsia"/>
          <w:sz w:val="32"/>
          <w:szCs w:val="32"/>
        </w:rPr>
        <w:t>按照市市场监管委对“十三五”期间能源计量审查工作部署，</w:t>
      </w:r>
      <w:r w:rsidRPr="00A93CB4">
        <w:rPr>
          <w:rFonts w:ascii="仿宋_GB2312" w:eastAsia="仿宋_GB2312" w:cs="仿宋_GB2312" w:hint="eastAsia"/>
          <w:sz w:val="32"/>
          <w:szCs w:val="32"/>
        </w:rPr>
        <w:t>严格依照《重点用能单位能源计量审查规范》，对</w:t>
      </w:r>
      <w:r>
        <w:rPr>
          <w:rFonts w:ascii="仿宋_GB2312" w:eastAsia="仿宋_GB2312" w:cs="仿宋_GB2312" w:hint="eastAsia"/>
          <w:sz w:val="32"/>
          <w:szCs w:val="32"/>
        </w:rPr>
        <w:t>重点用能单位的</w:t>
      </w:r>
      <w:r w:rsidRPr="00A93CB4">
        <w:rPr>
          <w:rFonts w:ascii="仿宋_GB2312" w:eastAsia="仿宋_GB2312" w:cs="仿宋_GB2312" w:hint="eastAsia"/>
          <w:sz w:val="32"/>
          <w:szCs w:val="32"/>
        </w:rPr>
        <w:t>器具配备、人员制度、管理流程等方面开展全面审查，促进企业节能改造，提升能源效率，改善用能结构。累计完成</w:t>
      </w:r>
      <w:r>
        <w:rPr>
          <w:rFonts w:ascii="仿宋_GB2312" w:eastAsia="仿宋_GB2312" w:cs="仿宋_GB2312" w:hint="eastAsia"/>
          <w:sz w:val="32"/>
          <w:szCs w:val="32"/>
        </w:rPr>
        <w:t>4</w:t>
      </w:r>
      <w:r w:rsidRPr="001E1367">
        <w:rPr>
          <w:rFonts w:ascii="仿宋_GB2312" w:eastAsia="仿宋_GB2312" w:cs="仿宋_GB2312" w:hint="eastAsia"/>
          <w:sz w:val="32"/>
          <w:szCs w:val="32"/>
        </w:rPr>
        <w:t>0余</w:t>
      </w:r>
      <w:r w:rsidRPr="00A93CB4">
        <w:rPr>
          <w:rFonts w:ascii="仿宋_GB2312" w:eastAsia="仿宋_GB2312" w:cs="仿宋_GB2312" w:hint="eastAsia"/>
          <w:sz w:val="32"/>
          <w:szCs w:val="32"/>
        </w:rPr>
        <w:t>家重点用能单位的能源计量审查工作。</w:t>
      </w:r>
    </w:p>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（三）加强车用乙醇汽油推广使用过程中相关计量工作</w:t>
      </w:r>
    </w:p>
    <w:p w:rsidR="00584563" w:rsidRPr="001E1367" w:rsidRDefault="00584563" w:rsidP="00BF7A50">
      <w:pPr>
        <w:spacing w:line="620" w:lineRule="exact"/>
        <w:ind w:firstLineChars="200" w:firstLine="640"/>
        <w:contextualSpacing/>
        <w:rPr>
          <w:rFonts w:ascii="仿宋_GB2312" w:eastAsia="仿宋_GB2312" w:cs="仿宋_GB2312"/>
          <w:sz w:val="32"/>
          <w:szCs w:val="32"/>
        </w:rPr>
      </w:pPr>
      <w:r>
        <w:rPr>
          <w:rFonts w:ascii="仿宋_GB2312" w:eastAsia="仿宋_GB2312" w:hAnsi="仿宋" w:hint="eastAsia"/>
          <w:sz w:val="32"/>
          <w:szCs w:val="32"/>
        </w:rPr>
        <w:t>组织</w:t>
      </w:r>
      <w:r w:rsidRPr="00486FC8">
        <w:rPr>
          <w:rFonts w:ascii="仿宋_GB2312" w:eastAsia="仿宋_GB2312" w:hAnsi="仿宋" w:hint="eastAsia"/>
          <w:sz w:val="32"/>
          <w:szCs w:val="32"/>
        </w:rPr>
        <w:t>计量检定机构提前介入，研究换油后对加油机准确度可能产生的影</w:t>
      </w:r>
      <w:r w:rsidRPr="00504512">
        <w:rPr>
          <w:rFonts w:ascii="仿宋_GB2312" w:eastAsia="仿宋_GB2312" w:hAnsi="仿宋" w:hint="eastAsia"/>
          <w:sz w:val="32"/>
          <w:szCs w:val="32"/>
        </w:rPr>
        <w:t>响，严格按照检定规程和周期对加油机实施检定</w:t>
      </w:r>
      <w:r>
        <w:rPr>
          <w:rFonts w:ascii="仿宋_GB2312" w:eastAsia="仿宋_GB2312" w:hAnsi="仿宋" w:hint="eastAsia"/>
          <w:sz w:val="32"/>
          <w:szCs w:val="32"/>
        </w:rPr>
        <w:t>。</w:t>
      </w:r>
      <w:r w:rsidRPr="00504512">
        <w:rPr>
          <w:rFonts w:ascii="仿宋_GB2312" w:eastAsia="仿宋_GB2312" w:hAnsi="仿宋" w:hint="eastAsia"/>
          <w:sz w:val="32"/>
          <w:szCs w:val="32"/>
        </w:rPr>
        <w:t>加强对</w:t>
      </w:r>
      <w:r>
        <w:rPr>
          <w:rFonts w:ascii="仿宋_GB2312" w:eastAsia="仿宋_GB2312" w:hAnsi="仿宋" w:hint="eastAsia"/>
          <w:sz w:val="32"/>
          <w:szCs w:val="32"/>
        </w:rPr>
        <w:t>新区</w:t>
      </w:r>
      <w:r w:rsidRPr="00504512">
        <w:rPr>
          <w:rFonts w:ascii="仿宋_GB2312" w:eastAsia="仿宋_GB2312" w:hAnsi="仿宋" w:hint="eastAsia"/>
          <w:sz w:val="32"/>
          <w:szCs w:val="32"/>
        </w:rPr>
        <w:t>加油站的日常巡查</w:t>
      </w:r>
      <w:r>
        <w:rPr>
          <w:rFonts w:ascii="仿宋_GB2312" w:eastAsia="仿宋_GB2312" w:hAnsi="仿宋" w:hint="eastAsia"/>
          <w:sz w:val="32"/>
          <w:szCs w:val="32"/>
        </w:rPr>
        <w:t>力度，</w:t>
      </w:r>
      <w:r w:rsidRPr="00504512">
        <w:rPr>
          <w:rFonts w:ascii="仿宋_GB2312" w:eastAsia="仿宋_GB2312" w:hAnsi="仿宋" w:hint="eastAsia"/>
          <w:sz w:val="32"/>
          <w:szCs w:val="32"/>
        </w:rPr>
        <w:t>实行加油站计量监管动态周报制度</w:t>
      </w:r>
      <w:r>
        <w:rPr>
          <w:rFonts w:ascii="仿宋_GB2312" w:eastAsia="仿宋_GB2312" w:hAnsi="仿宋" w:hint="eastAsia"/>
          <w:sz w:val="32"/>
          <w:szCs w:val="32"/>
        </w:rPr>
        <w:t>和</w:t>
      </w:r>
      <w:r w:rsidRPr="00504512">
        <w:rPr>
          <w:rFonts w:ascii="仿宋_GB2312" w:eastAsia="仿宋_GB2312" w:hAnsi="仿宋" w:hint="eastAsia"/>
          <w:sz w:val="32"/>
          <w:szCs w:val="32"/>
        </w:rPr>
        <w:t>加油机检定信息周报制度，依法查处计量作弊行为</w:t>
      </w:r>
      <w:r w:rsidRPr="000C2F28">
        <w:rPr>
          <w:rFonts w:ascii="仿宋_GB2312" w:eastAsia="仿宋_GB2312" w:hAnsi="仿宋" w:hint="eastAsia"/>
          <w:sz w:val="32"/>
          <w:szCs w:val="32"/>
        </w:rPr>
        <w:t>。</w:t>
      </w:r>
      <w:r w:rsidRPr="004E2159">
        <w:rPr>
          <w:rFonts w:ascii="仿宋_GB2312" w:eastAsia="仿宋_GB2312" w:cs="仿宋_GB2312" w:hint="eastAsia"/>
          <w:sz w:val="32"/>
          <w:szCs w:val="32"/>
        </w:rPr>
        <w:t>截至11月底此项工作结束，共出动执法人员411人次,开展计量法律法规、加油机检定等宣传及接受群众咨询150余次，检查加油站176家,加油机786台，检定已更换乙醇的加油机287台，加油枪733把</w:t>
      </w:r>
      <w:r>
        <w:rPr>
          <w:rFonts w:ascii="仿宋_GB2312" w:eastAsia="仿宋_GB2312" w:cs="仿宋_GB2312" w:hint="eastAsia"/>
          <w:sz w:val="32"/>
          <w:szCs w:val="32"/>
        </w:rPr>
        <w:t>。</w:t>
      </w:r>
    </w:p>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（四）其他计量执法检查工作</w:t>
      </w:r>
    </w:p>
    <w:p w:rsidR="00584563" w:rsidRDefault="00584563" w:rsidP="00F518E5">
      <w:pPr>
        <w:spacing w:line="620" w:lineRule="exact"/>
        <w:ind w:firstLineChars="200" w:firstLine="640"/>
        <w:contextualSpacing/>
        <w:rPr>
          <w:rFonts w:ascii="仿宋_GB2312" w:eastAsia="仿宋_GB2312" w:cs="仿宋_GB2312"/>
          <w:sz w:val="32"/>
          <w:szCs w:val="32"/>
        </w:rPr>
      </w:pPr>
      <w:r w:rsidRPr="004E2159">
        <w:rPr>
          <w:rFonts w:ascii="仿宋_GB2312" w:eastAsia="仿宋_GB2312" w:cs="仿宋_GB2312" w:hint="eastAsia"/>
          <w:sz w:val="32"/>
          <w:szCs w:val="32"/>
        </w:rPr>
        <w:t>元旦春节期间，共出动400余人次执法人员，检查加油（气）站、气体充装单位、集贸市场等170余家单位，共2400余台件计量器具，组织计量检定所50余人次，配合做好对集贸市场电子计价秤的抽检工作，抽查集贸市场20余家，电子计价秤700余台，约占检查总数的44%。除上述重点领域计量执法检查外，</w:t>
      </w:r>
      <w:r w:rsidRPr="004E2159">
        <w:rPr>
          <w:rFonts w:ascii="仿宋_GB2312" w:eastAsia="仿宋_GB2312" w:cs="仿宋_GB2312" w:hint="eastAsia"/>
          <w:sz w:val="32"/>
          <w:szCs w:val="32"/>
        </w:rPr>
        <w:lastRenderedPageBreak/>
        <w:t>日常执法检查共出动执法人员1600余人次，检查涉及餐饮行业、商店超市、公路计重、气体充装单位、医疗机构、配镜行业等领域单位共计1000余家，计量器具10000余台件。</w:t>
      </w:r>
    </w:p>
    <w:p w:rsidR="00584563" w:rsidRPr="00000775" w:rsidRDefault="00584563" w:rsidP="00F518E5">
      <w:pPr>
        <w:spacing w:line="620" w:lineRule="exact"/>
        <w:ind w:firstLineChars="200" w:firstLine="640"/>
        <w:contextualSpacing/>
        <w:rPr>
          <w:rFonts w:ascii="黑体" w:eastAsia="黑体" w:hAnsi="黑体" w:cs="楷体"/>
          <w:bCs/>
          <w:sz w:val="32"/>
          <w:szCs w:val="32"/>
        </w:rPr>
      </w:pPr>
      <w:r w:rsidRPr="00000775">
        <w:rPr>
          <w:rFonts w:ascii="黑体" w:eastAsia="黑体" w:hAnsi="黑体" w:cs="楷体" w:hint="eastAsia"/>
          <w:bCs/>
          <w:sz w:val="32"/>
          <w:szCs w:val="32"/>
        </w:rPr>
        <w:t>四、计量服务情况</w:t>
      </w:r>
    </w:p>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（一）开展</w:t>
      </w:r>
      <w:r w:rsidRPr="00000775">
        <w:rPr>
          <w:rFonts w:ascii="楷体_GB2312" w:eastAsia="楷体_GB2312" w:cs="仿宋_GB2312"/>
          <w:b/>
          <w:sz w:val="32"/>
          <w:szCs w:val="32"/>
        </w:rPr>
        <w:t>企业质量技术服务需求调查</w:t>
      </w:r>
    </w:p>
    <w:p w:rsidR="00584563" w:rsidRDefault="00584563" w:rsidP="00F518E5">
      <w:pPr>
        <w:spacing w:line="620" w:lineRule="exact"/>
        <w:ind w:firstLineChars="200" w:firstLine="640"/>
        <w:contextualSpacing/>
        <w:rPr>
          <w:rFonts w:ascii="仿宋_GB2312" w:eastAsia="仿宋_GB2312"/>
          <w:kern w:val="0"/>
          <w:sz w:val="32"/>
          <w:szCs w:val="32"/>
        </w:rPr>
      </w:pPr>
      <w:r w:rsidRPr="00605740">
        <w:rPr>
          <w:rFonts w:ascii="仿宋_GB2312" w:eastAsia="仿宋_GB2312" w:hint="eastAsia"/>
          <w:kern w:val="0"/>
          <w:sz w:val="32"/>
          <w:szCs w:val="32"/>
        </w:rPr>
        <w:t>摸清企业质量现状和质量技术需求。以发放问卷及实地走访企业等形式开展计量精准服务企业调研活动，通过引导企业挖掘自身计量技术需求的方式，更深入细致的了解了企业在计量方面的难点和痛点，有效推动了优化计量精准服务活动的开展，共发放调查问卷170余份，回收114份，后期对回收的问卷进行分析汇总，形成</w:t>
      </w:r>
      <w:r>
        <w:rPr>
          <w:rFonts w:ascii="仿宋_GB2312" w:eastAsia="仿宋_GB2312" w:hint="eastAsia"/>
          <w:kern w:val="0"/>
          <w:sz w:val="32"/>
          <w:szCs w:val="32"/>
        </w:rPr>
        <w:t>计量</w:t>
      </w:r>
      <w:r w:rsidRPr="00605740">
        <w:rPr>
          <w:rFonts w:ascii="仿宋_GB2312" w:eastAsia="仿宋_GB2312" w:hint="eastAsia"/>
          <w:kern w:val="0"/>
          <w:sz w:val="32"/>
          <w:szCs w:val="32"/>
        </w:rPr>
        <w:t>调研情况汇总。</w:t>
      </w:r>
    </w:p>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（二）深入企业开展帮扶工作</w:t>
      </w:r>
    </w:p>
    <w:p w:rsidR="00584563" w:rsidRPr="005D5980" w:rsidRDefault="00584563" w:rsidP="00F518E5">
      <w:pPr>
        <w:spacing w:line="620" w:lineRule="exact"/>
        <w:ind w:firstLineChars="200" w:firstLine="640"/>
        <w:contextualSpacing/>
        <w:rPr>
          <w:rFonts w:ascii="楷体_GB2312" w:eastAsia="楷体_GB2312" w:hAnsi="楷体" w:cs="楷体"/>
          <w:b/>
          <w:bCs/>
          <w:sz w:val="32"/>
          <w:szCs w:val="32"/>
        </w:rPr>
      </w:pPr>
      <w:r>
        <w:rPr>
          <w:rFonts w:ascii="仿宋_GB2312" w:eastAsia="仿宋_GB2312" w:hint="eastAsia"/>
          <w:kern w:val="0"/>
          <w:sz w:val="32"/>
          <w:szCs w:val="32"/>
        </w:rPr>
        <w:t>落实“</w:t>
      </w:r>
      <w:r w:rsidRPr="005D5980">
        <w:rPr>
          <w:rFonts w:ascii="仿宋_GB2312" w:eastAsia="仿宋_GB2312" w:hint="eastAsia"/>
          <w:kern w:val="0"/>
          <w:sz w:val="32"/>
          <w:szCs w:val="32"/>
        </w:rPr>
        <w:t>双万双服促发展”活动</w:t>
      </w:r>
      <w:r>
        <w:rPr>
          <w:rFonts w:ascii="仿宋_GB2312" w:eastAsia="仿宋_GB2312" w:hint="eastAsia"/>
          <w:kern w:val="0"/>
          <w:sz w:val="32"/>
          <w:szCs w:val="32"/>
        </w:rPr>
        <w:t>，深入</w:t>
      </w:r>
      <w:r w:rsidRPr="005D5980">
        <w:rPr>
          <w:rFonts w:ascii="仿宋_GB2312" w:eastAsia="仿宋_GB2312" w:hint="eastAsia"/>
          <w:kern w:val="0"/>
          <w:sz w:val="32"/>
          <w:szCs w:val="32"/>
        </w:rPr>
        <w:t>长芦汉沽盐场和杨家泊镇，了解企业困难，解答企业提出的问题，听取企业意见建议，做好政策解读，与企业建立联系，并依职责开展帮扶工作。</w:t>
      </w:r>
    </w:p>
    <w:p w:rsidR="00584563" w:rsidRPr="00000775" w:rsidRDefault="00584563" w:rsidP="00F518E5">
      <w:pPr>
        <w:spacing w:line="620" w:lineRule="exact"/>
        <w:ind w:firstLineChars="200" w:firstLine="643"/>
        <w:contextualSpacing/>
        <w:rPr>
          <w:rFonts w:ascii="楷体_GB2312" w:eastAsia="楷体_GB2312" w:cs="仿宋_GB2312"/>
          <w:b/>
          <w:sz w:val="32"/>
          <w:szCs w:val="32"/>
        </w:rPr>
      </w:pPr>
      <w:r w:rsidRPr="00000775">
        <w:rPr>
          <w:rFonts w:ascii="楷体_GB2312" w:eastAsia="楷体_GB2312" w:cs="仿宋_GB2312" w:hint="eastAsia"/>
          <w:b/>
          <w:sz w:val="32"/>
          <w:szCs w:val="32"/>
        </w:rPr>
        <w:t>（三）节日期间开展各种宣传服务活动</w:t>
      </w:r>
    </w:p>
    <w:p w:rsidR="00584563" w:rsidRDefault="00584563" w:rsidP="00F518E5">
      <w:pPr>
        <w:tabs>
          <w:tab w:val="left" w:pos="2579"/>
        </w:tabs>
        <w:spacing w:line="620" w:lineRule="exact"/>
        <w:ind w:firstLineChars="200" w:firstLine="640"/>
        <w:contextualSpacing/>
        <w:rPr>
          <w:rFonts w:ascii="仿宋_GB2312" w:eastAsia="仿宋_GB2312"/>
          <w:sz w:val="32"/>
          <w:szCs w:val="32"/>
        </w:rPr>
      </w:pPr>
      <w:r>
        <w:rPr>
          <w:rFonts w:ascii="仿宋_GB2312" w:eastAsia="仿宋_GB2312" w:hint="eastAsia"/>
          <w:sz w:val="32"/>
          <w:szCs w:val="32"/>
        </w:rPr>
        <w:t>在</w:t>
      </w:r>
      <w:r w:rsidRPr="00605740">
        <w:rPr>
          <w:rFonts w:ascii="仿宋_GB2312" w:eastAsia="仿宋_GB2312" w:hint="eastAsia"/>
          <w:sz w:val="32"/>
          <w:szCs w:val="32"/>
        </w:rPr>
        <w:t>“世界计量日”</w:t>
      </w:r>
      <w:r>
        <w:rPr>
          <w:rFonts w:ascii="仿宋_GB2312" w:eastAsia="仿宋_GB2312" w:hint="eastAsia"/>
          <w:sz w:val="32"/>
          <w:szCs w:val="32"/>
        </w:rPr>
        <w:t>“世界标准日”及“质量月”期间，</w:t>
      </w:r>
      <w:r w:rsidRPr="00605740">
        <w:rPr>
          <w:rFonts w:ascii="仿宋_GB2312" w:eastAsia="仿宋_GB2312" w:hint="eastAsia"/>
          <w:sz w:val="32"/>
          <w:szCs w:val="32"/>
        </w:rPr>
        <w:t>精心策划</w:t>
      </w:r>
      <w:r>
        <w:rPr>
          <w:rFonts w:ascii="仿宋_GB2312" w:eastAsia="仿宋_GB2312" w:hint="eastAsia"/>
          <w:sz w:val="32"/>
          <w:szCs w:val="32"/>
        </w:rPr>
        <w:t>做好</w:t>
      </w:r>
      <w:r w:rsidRPr="00605740">
        <w:rPr>
          <w:rFonts w:ascii="仿宋_GB2312" w:eastAsia="仿宋_GB2312" w:hint="eastAsia"/>
          <w:sz w:val="32"/>
          <w:szCs w:val="32"/>
        </w:rPr>
        <w:t>宣传服务活动</w:t>
      </w:r>
      <w:r>
        <w:rPr>
          <w:rFonts w:ascii="仿宋_GB2312" w:eastAsia="仿宋_GB2312" w:hint="eastAsia"/>
          <w:sz w:val="32"/>
          <w:szCs w:val="32"/>
        </w:rPr>
        <w:t>。</w:t>
      </w:r>
      <w:r w:rsidRPr="00605740">
        <w:rPr>
          <w:rFonts w:ascii="仿宋_GB2312" w:eastAsia="仿宋_GB2312" w:hint="eastAsia"/>
          <w:sz w:val="32"/>
          <w:szCs w:val="32"/>
        </w:rPr>
        <w:t>活动共出动执法和技术人员</w:t>
      </w:r>
      <w:r>
        <w:rPr>
          <w:rFonts w:ascii="仿宋_GB2312" w:eastAsia="仿宋_GB2312" w:hint="eastAsia"/>
          <w:sz w:val="32"/>
          <w:szCs w:val="32"/>
        </w:rPr>
        <w:t>40</w:t>
      </w:r>
      <w:r w:rsidRPr="00605740">
        <w:rPr>
          <w:rFonts w:ascii="仿宋_GB2312" w:eastAsia="仿宋_GB2312" w:hint="eastAsia"/>
          <w:sz w:val="32"/>
          <w:szCs w:val="32"/>
        </w:rPr>
        <w:t>余人次，在晨晖里社区、中塘镇世纪华联超市门口、各计量检定机构等地点分别设置宣传台，为群众普及计量知识，</w:t>
      </w:r>
      <w:r w:rsidRPr="00711DE0">
        <w:rPr>
          <w:rFonts w:ascii="仿宋_GB2312" w:eastAsia="仿宋_GB2312" w:hint="eastAsia"/>
          <w:sz w:val="32"/>
          <w:szCs w:val="32"/>
        </w:rPr>
        <w:t>设置了水银血压计便</w:t>
      </w:r>
      <w:r w:rsidRPr="00711DE0">
        <w:rPr>
          <w:rFonts w:ascii="仿宋_GB2312" w:eastAsia="仿宋_GB2312" w:hint="eastAsia"/>
          <w:sz w:val="32"/>
          <w:szCs w:val="32"/>
        </w:rPr>
        <w:lastRenderedPageBreak/>
        <w:t>民服务点，方便群众送检。</w:t>
      </w:r>
      <w:r w:rsidRPr="00605740">
        <w:rPr>
          <w:rFonts w:ascii="仿宋_GB2312" w:eastAsia="仿宋_GB2312" w:hint="eastAsia"/>
          <w:sz w:val="32"/>
          <w:szCs w:val="32"/>
        </w:rPr>
        <w:t>共接待群众咨询130余人次，发放计量宣传彩页5</w:t>
      </w:r>
      <w:r>
        <w:rPr>
          <w:rFonts w:ascii="仿宋_GB2312" w:eastAsia="仿宋_GB2312" w:hint="eastAsia"/>
          <w:sz w:val="32"/>
          <w:szCs w:val="32"/>
        </w:rPr>
        <w:t>4</w:t>
      </w:r>
      <w:r w:rsidRPr="00605740">
        <w:rPr>
          <w:rFonts w:ascii="仿宋_GB2312" w:eastAsia="仿宋_GB2312" w:hint="eastAsia"/>
          <w:sz w:val="32"/>
          <w:szCs w:val="32"/>
        </w:rPr>
        <w:t>0余份，免费检定水银血压计</w:t>
      </w:r>
      <w:r>
        <w:rPr>
          <w:rFonts w:ascii="仿宋_GB2312" w:eastAsia="仿宋_GB2312" w:hint="eastAsia"/>
          <w:sz w:val="32"/>
          <w:szCs w:val="32"/>
        </w:rPr>
        <w:t>80</w:t>
      </w:r>
      <w:r w:rsidRPr="00605740">
        <w:rPr>
          <w:rFonts w:ascii="仿宋_GB2312" w:eastAsia="仿宋_GB2312" w:hint="eastAsia"/>
          <w:sz w:val="32"/>
          <w:szCs w:val="32"/>
        </w:rPr>
        <w:t>余台件。提升社会各界对</w:t>
      </w:r>
      <w:r>
        <w:rPr>
          <w:rFonts w:ascii="仿宋_GB2312" w:eastAsia="仿宋_GB2312" w:hint="eastAsia"/>
          <w:sz w:val="32"/>
          <w:szCs w:val="32"/>
        </w:rPr>
        <w:t>标准和</w:t>
      </w:r>
      <w:r w:rsidRPr="00605740">
        <w:rPr>
          <w:rFonts w:ascii="仿宋_GB2312" w:eastAsia="仿宋_GB2312" w:hint="eastAsia"/>
          <w:sz w:val="32"/>
          <w:szCs w:val="32"/>
        </w:rPr>
        <w:t>计量</w:t>
      </w:r>
      <w:r>
        <w:rPr>
          <w:rFonts w:ascii="仿宋_GB2312" w:eastAsia="仿宋_GB2312" w:hint="eastAsia"/>
          <w:sz w:val="32"/>
          <w:szCs w:val="32"/>
        </w:rPr>
        <w:t>工作</w:t>
      </w:r>
      <w:r w:rsidRPr="00605740">
        <w:rPr>
          <w:rFonts w:ascii="仿宋_GB2312" w:eastAsia="仿宋_GB2312" w:hint="eastAsia"/>
          <w:sz w:val="32"/>
          <w:szCs w:val="32"/>
        </w:rPr>
        <w:t>的了解和认识</w:t>
      </w:r>
      <w:r>
        <w:rPr>
          <w:rFonts w:ascii="仿宋_GB2312" w:eastAsia="仿宋_GB2312" w:hint="eastAsia"/>
          <w:sz w:val="32"/>
          <w:szCs w:val="32"/>
        </w:rPr>
        <w:t>，助力质量强区宣传及服务工作</w:t>
      </w:r>
      <w:r w:rsidRPr="00605740">
        <w:rPr>
          <w:rFonts w:ascii="仿宋_GB2312" w:eastAsia="仿宋_GB2312" w:hint="eastAsia"/>
          <w:sz w:val="32"/>
          <w:szCs w:val="32"/>
        </w:rPr>
        <w:t>。</w:t>
      </w:r>
    </w:p>
    <w:p w:rsidR="00584563" w:rsidRPr="00000775" w:rsidRDefault="00584563" w:rsidP="00F518E5">
      <w:pPr>
        <w:spacing w:line="620" w:lineRule="exact"/>
        <w:ind w:firstLineChars="200" w:firstLine="640"/>
        <w:contextualSpacing/>
        <w:rPr>
          <w:rFonts w:ascii="黑体" w:eastAsia="黑体" w:hAnsi="黑体" w:cs="楷体"/>
          <w:bCs/>
          <w:sz w:val="32"/>
          <w:szCs w:val="32"/>
        </w:rPr>
      </w:pPr>
      <w:r w:rsidRPr="00000775">
        <w:rPr>
          <w:rFonts w:ascii="黑体" w:eastAsia="黑体" w:hAnsi="黑体" w:cs="楷体" w:hint="eastAsia"/>
          <w:bCs/>
          <w:sz w:val="32"/>
          <w:szCs w:val="32"/>
        </w:rPr>
        <w:t>五、仲裁检定和计量调解</w:t>
      </w:r>
    </w:p>
    <w:p w:rsidR="00584563" w:rsidRDefault="00584563" w:rsidP="00F518E5">
      <w:pPr>
        <w:tabs>
          <w:tab w:val="left" w:pos="2579"/>
        </w:tabs>
        <w:spacing w:line="620" w:lineRule="exact"/>
        <w:ind w:firstLineChars="200" w:firstLine="640"/>
        <w:contextualSpacing/>
        <w:rPr>
          <w:rFonts w:ascii="仿宋_GB2312" w:eastAsia="仿宋_GB2312" w:cs="仿宋_GB2312"/>
          <w:sz w:val="32"/>
          <w:szCs w:val="32"/>
        </w:rPr>
      </w:pPr>
      <w:r>
        <w:rPr>
          <w:rFonts w:ascii="仿宋_GB2312" w:eastAsia="仿宋_GB2312" w:hAnsi="仿宋_GB2312" w:hint="eastAsia"/>
          <w:sz w:val="32"/>
          <w:szCs w:val="32"/>
        </w:rPr>
        <w:t>2018年度，共</w:t>
      </w:r>
      <w:r>
        <w:rPr>
          <w:rFonts w:ascii="仿宋_GB2312" w:eastAsia="仿宋_GB2312" w:hAnsi="仿宋_GB2312"/>
          <w:sz w:val="32"/>
          <w:szCs w:val="32"/>
        </w:rPr>
        <w:t>接受计量仲裁</w:t>
      </w:r>
      <w:r>
        <w:rPr>
          <w:rFonts w:ascii="仿宋_GB2312" w:eastAsia="仿宋_GB2312" w:hAnsi="仿宋_GB2312" w:hint="eastAsia"/>
          <w:sz w:val="32"/>
          <w:szCs w:val="32"/>
        </w:rPr>
        <w:t>检定</w:t>
      </w:r>
      <w:r>
        <w:rPr>
          <w:rFonts w:ascii="仿宋_GB2312" w:eastAsia="仿宋_GB2312" w:hAnsi="仿宋_GB2312"/>
          <w:sz w:val="32"/>
          <w:szCs w:val="32"/>
        </w:rPr>
        <w:t>咨询30余件，</w:t>
      </w:r>
      <w:r>
        <w:rPr>
          <w:rFonts w:ascii="仿宋_GB2312" w:eastAsia="仿宋_GB2312" w:hAnsi="仿宋_GB2312" w:hint="eastAsia"/>
          <w:sz w:val="32"/>
          <w:szCs w:val="32"/>
        </w:rPr>
        <w:t>为咨询群众解答计量器具方面问题和疑惑。严格遵照《仲裁检定和计量调解办法》要求，</w:t>
      </w:r>
      <w:r>
        <w:rPr>
          <w:rFonts w:ascii="仿宋_GB2312" w:eastAsia="仿宋_GB2312" w:hAnsi="仿宋_GB2312"/>
          <w:sz w:val="32"/>
          <w:szCs w:val="32"/>
        </w:rPr>
        <w:t>受理并完成</w:t>
      </w:r>
      <w:r>
        <w:rPr>
          <w:rFonts w:ascii="仿宋_GB2312" w:eastAsia="仿宋_GB2312" w:hAnsi="仿宋_GB2312" w:hint="eastAsia"/>
          <w:sz w:val="32"/>
          <w:szCs w:val="32"/>
        </w:rPr>
        <w:t>用户和供能单位间因计量器具准确度产生的计量纠纷</w:t>
      </w:r>
      <w:r>
        <w:rPr>
          <w:rFonts w:ascii="仿宋_GB2312" w:eastAsia="仿宋_GB2312" w:hAnsi="仿宋_GB2312"/>
          <w:sz w:val="32"/>
          <w:szCs w:val="32"/>
        </w:rPr>
        <w:t>3起，</w:t>
      </w:r>
      <w:r>
        <w:rPr>
          <w:rFonts w:ascii="仿宋_GB2312" w:eastAsia="仿宋_GB2312" w:hAnsi="仿宋_GB2312" w:hint="eastAsia"/>
          <w:sz w:val="32"/>
          <w:szCs w:val="32"/>
        </w:rPr>
        <w:t>有效维护了双方的合法利益。</w:t>
      </w:r>
      <w:r>
        <w:rPr>
          <w:rFonts w:ascii="仿宋_GB2312" w:eastAsia="仿宋_GB2312" w:hAnsi="仿宋_GB2312"/>
          <w:sz w:val="32"/>
          <w:szCs w:val="32"/>
        </w:rPr>
        <w:t>申请人</w:t>
      </w:r>
      <w:r>
        <w:rPr>
          <w:rFonts w:ascii="仿宋_GB2312" w:eastAsia="仿宋_GB2312" w:hAnsi="仿宋_GB2312" w:hint="eastAsia"/>
          <w:sz w:val="32"/>
          <w:szCs w:val="32"/>
        </w:rPr>
        <w:t>双方</w:t>
      </w:r>
      <w:r>
        <w:rPr>
          <w:rFonts w:ascii="仿宋_GB2312" w:eastAsia="仿宋_GB2312" w:hAnsi="仿宋_GB2312"/>
          <w:sz w:val="32"/>
          <w:szCs w:val="32"/>
        </w:rPr>
        <w:t>均对办理结果表示满意</w:t>
      </w:r>
      <w:r>
        <w:rPr>
          <w:rFonts w:ascii="仿宋_GB2312" w:eastAsia="仿宋_GB2312" w:cs="仿宋_GB2312" w:hint="eastAsia"/>
          <w:sz w:val="32"/>
          <w:szCs w:val="32"/>
        </w:rPr>
        <w:t>。</w:t>
      </w:r>
    </w:p>
    <w:p w:rsidR="00AD182C" w:rsidRPr="00DB1A56" w:rsidRDefault="00AD182C" w:rsidP="00F518E5">
      <w:pPr>
        <w:spacing w:line="620" w:lineRule="exact"/>
        <w:contextualSpacing/>
        <w:rPr>
          <w:rFonts w:ascii="Times New Roman" w:eastAsia="方正小标宋简体" w:hAnsi="Times New Roman"/>
          <w:bCs/>
          <w:sz w:val="32"/>
          <w:szCs w:val="32"/>
        </w:rPr>
      </w:pPr>
    </w:p>
    <w:p w:rsidR="00AD182C" w:rsidRDefault="00AD182C" w:rsidP="00F518E5">
      <w:pPr>
        <w:spacing w:line="620" w:lineRule="exact"/>
        <w:contextualSpacing/>
        <w:rPr>
          <w:rFonts w:ascii="Times New Roman" w:eastAsia="方正小标宋简体" w:hAnsi="Times New Roman"/>
          <w:bCs/>
          <w:sz w:val="32"/>
          <w:szCs w:val="32"/>
        </w:rPr>
      </w:pPr>
    </w:p>
    <w:sectPr w:rsidR="00AD182C" w:rsidSect="00EE68EC">
      <w:headerReference w:type="default" r:id="rId9"/>
      <w:footerReference w:type="even" r:id="rId10"/>
      <w:footerReference w:type="default" r:id="rId11"/>
      <w:footerReference w:type="first" r:id="rId12"/>
      <w:pgSz w:w="11906" w:h="16838" w:code="9"/>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B4" w:rsidRDefault="008506B4">
      <w:r>
        <w:separator/>
      </w:r>
    </w:p>
  </w:endnote>
  <w:endnote w:type="continuationSeparator" w:id="0">
    <w:p w:rsidR="008506B4" w:rsidRDefault="0085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361"/>
    </w:tblGrid>
    <w:tr w:rsidR="0064003D">
      <w:tc>
        <w:tcPr>
          <w:tcW w:w="5000" w:type="pct"/>
        </w:tcPr>
        <w:p w:rsidR="0064003D" w:rsidRPr="00385B49" w:rsidRDefault="0064003D">
          <w:pPr>
            <w:pStyle w:val="a4"/>
            <w:jc w:val="right"/>
            <w:rPr>
              <w:rFonts w:ascii="宋体" w:hAnsi="宋体"/>
              <w:noProof/>
              <w:sz w:val="28"/>
              <w:szCs w:val="28"/>
              <w:lang w:val="en-US" w:eastAsia="zh-CN"/>
            </w:rPr>
          </w:pPr>
          <w:r w:rsidRPr="00385B49">
            <w:rPr>
              <w:rFonts w:ascii="宋体" w:hAnsi="宋体"/>
              <w:sz w:val="28"/>
              <w:szCs w:val="28"/>
              <w:lang w:val="en-US" w:eastAsia="zh-CN"/>
            </w:rPr>
            <w:fldChar w:fldCharType="begin"/>
          </w:r>
          <w:r w:rsidRPr="00385B49">
            <w:rPr>
              <w:rFonts w:ascii="宋体" w:hAnsi="宋体"/>
              <w:sz w:val="28"/>
              <w:szCs w:val="28"/>
              <w:lang w:val="en-US" w:eastAsia="zh-CN"/>
            </w:rPr>
            <w:instrText xml:space="preserve"> PAGE   \* MERGEFORMAT </w:instrText>
          </w:r>
          <w:r w:rsidRPr="00385B49">
            <w:rPr>
              <w:rFonts w:ascii="宋体" w:hAnsi="宋体"/>
              <w:sz w:val="28"/>
              <w:szCs w:val="28"/>
              <w:lang w:val="en-US" w:eastAsia="zh-CN"/>
            </w:rPr>
            <w:fldChar w:fldCharType="separate"/>
          </w:r>
          <w:r w:rsidR="00217DC9">
            <w:rPr>
              <w:rFonts w:ascii="宋体" w:hAnsi="宋体"/>
              <w:noProof/>
              <w:sz w:val="28"/>
              <w:szCs w:val="28"/>
              <w:lang w:val="en-US" w:eastAsia="zh-CN"/>
            </w:rPr>
            <w:t>- 2 -</w:t>
          </w:r>
          <w:r w:rsidRPr="00385B49">
            <w:rPr>
              <w:rFonts w:ascii="宋体" w:hAnsi="宋体"/>
              <w:noProof/>
              <w:sz w:val="28"/>
              <w:szCs w:val="28"/>
              <w:lang w:val="en-US" w:eastAsia="zh-CN"/>
            </w:rPr>
            <w:fldChar w:fldCharType="end"/>
          </w:r>
        </w:p>
      </w:tc>
    </w:tr>
  </w:tbl>
  <w:p w:rsidR="000F6E49" w:rsidRDefault="000F6E49" w:rsidP="000F6E4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26" w:rsidRPr="007C6326" w:rsidRDefault="007C6326">
    <w:pPr>
      <w:pStyle w:val="a4"/>
      <w:jc w:val="right"/>
      <w:rPr>
        <w:rFonts w:ascii="宋体" w:hAnsi="宋体"/>
        <w:sz w:val="28"/>
        <w:szCs w:val="28"/>
      </w:rPr>
    </w:pPr>
    <w:r w:rsidRPr="007C6326">
      <w:rPr>
        <w:rFonts w:ascii="宋体" w:hAnsi="宋体"/>
        <w:sz w:val="28"/>
        <w:szCs w:val="28"/>
      </w:rPr>
      <w:fldChar w:fldCharType="begin"/>
    </w:r>
    <w:r w:rsidRPr="007C6326">
      <w:rPr>
        <w:rFonts w:ascii="宋体" w:hAnsi="宋体"/>
        <w:sz w:val="28"/>
        <w:szCs w:val="28"/>
      </w:rPr>
      <w:instrText xml:space="preserve"> PAGE   \* MERGEFORMAT </w:instrText>
    </w:r>
    <w:r w:rsidRPr="007C6326">
      <w:rPr>
        <w:rFonts w:ascii="宋体" w:hAnsi="宋体"/>
        <w:sz w:val="28"/>
        <w:szCs w:val="28"/>
      </w:rPr>
      <w:fldChar w:fldCharType="separate"/>
    </w:r>
    <w:r w:rsidR="00217DC9" w:rsidRPr="00217DC9">
      <w:rPr>
        <w:rFonts w:ascii="宋体" w:hAnsi="宋体"/>
        <w:noProof/>
        <w:sz w:val="28"/>
        <w:szCs w:val="28"/>
        <w:lang w:val="zh-CN"/>
      </w:rPr>
      <w:t>-</w:t>
    </w:r>
    <w:r w:rsidR="00217DC9">
      <w:rPr>
        <w:rFonts w:ascii="宋体" w:hAnsi="宋体"/>
        <w:noProof/>
        <w:sz w:val="28"/>
        <w:szCs w:val="28"/>
      </w:rPr>
      <w:t xml:space="preserve"> 1 -</w:t>
    </w:r>
    <w:r w:rsidRPr="007C6326">
      <w:rPr>
        <w:rFonts w:ascii="宋体" w:hAnsi="宋体"/>
        <w:sz w:val="28"/>
        <w:szCs w:val="28"/>
      </w:rPr>
      <w:fldChar w:fldCharType="end"/>
    </w:r>
  </w:p>
  <w:p w:rsidR="000F6E49" w:rsidRDefault="000F6E49" w:rsidP="000F6E4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B95F17" w:rsidRDefault="00603591" w:rsidP="004C2E56">
    <w:pPr>
      <w:pStyle w:val="a4"/>
      <w:tabs>
        <w:tab w:val="left" w:pos="720"/>
      </w:tabs>
      <w:rPr>
        <w:rStyle w:val="a5"/>
        <w:sz w:val="24"/>
        <w:szCs w:val="24"/>
      </w:rPr>
    </w:pPr>
    <w:r>
      <w:rPr>
        <w:rFonts w:hint="eastAsia"/>
      </w:rPr>
      <w:t xml:space="preserve">                                                                                     </w:t>
    </w:r>
    <w:r w:rsidR="004C2E56" w:rsidRPr="00AA68C0">
      <w:rPr>
        <w:rStyle w:val="a5"/>
        <w:sz w:val="28"/>
        <w:szCs w:val="28"/>
      </w:rPr>
      <w:t>—</w:t>
    </w:r>
    <w:r w:rsidR="004C2E56">
      <w:rPr>
        <w:rStyle w:val="a5"/>
        <w:rFonts w:hint="eastAsia"/>
        <w:sz w:val="28"/>
        <w:szCs w:val="28"/>
      </w:rPr>
      <w:t>1</w:t>
    </w:r>
    <w:r w:rsidR="004C2E56" w:rsidRPr="00AA68C0">
      <w:rPr>
        <w:rStyle w:val="a5"/>
        <w:sz w:val="28"/>
        <w:szCs w:val="28"/>
      </w:rPr>
      <w:t>—</w:t>
    </w:r>
  </w:p>
  <w:p w:rsidR="00603591" w:rsidRPr="00B95F17" w:rsidRDefault="00603591" w:rsidP="00603591">
    <w:pPr>
      <w:pStyle w:val="a4"/>
      <w:tabs>
        <w:tab w:val="left" w:pos="720"/>
      </w:tabs>
      <w:rPr>
        <w:rStyle w:val="a5"/>
        <w:sz w:val="24"/>
        <w:szCs w:val="24"/>
      </w:rPr>
    </w:pPr>
  </w:p>
  <w:p w:rsidR="00603591" w:rsidRDefault="006035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B4" w:rsidRDefault="008506B4">
      <w:r>
        <w:separator/>
      </w:r>
    </w:p>
  </w:footnote>
  <w:footnote w:type="continuationSeparator" w:id="0">
    <w:p w:rsidR="008506B4" w:rsidRDefault="00850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905B2B" w:rsidRDefault="004C2E56" w:rsidP="00905B2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76"/>
    <w:rsid w:val="00013B01"/>
    <w:rsid w:val="000153C1"/>
    <w:rsid w:val="0005457A"/>
    <w:rsid w:val="0005655C"/>
    <w:rsid w:val="000D1D78"/>
    <w:rsid w:val="000F1CBA"/>
    <w:rsid w:val="000F6E49"/>
    <w:rsid w:val="001774E3"/>
    <w:rsid w:val="00195A1E"/>
    <w:rsid w:val="001C6788"/>
    <w:rsid w:val="00217DC9"/>
    <w:rsid w:val="002668D4"/>
    <w:rsid w:val="002978B7"/>
    <w:rsid w:val="002D6AC9"/>
    <w:rsid w:val="00300DBC"/>
    <w:rsid w:val="00301F5B"/>
    <w:rsid w:val="0034245D"/>
    <w:rsid w:val="00385B49"/>
    <w:rsid w:val="00443E53"/>
    <w:rsid w:val="00461523"/>
    <w:rsid w:val="004B4BB1"/>
    <w:rsid w:val="004C2E56"/>
    <w:rsid w:val="00584563"/>
    <w:rsid w:val="005A1D14"/>
    <w:rsid w:val="005A3F60"/>
    <w:rsid w:val="005B0852"/>
    <w:rsid w:val="00603591"/>
    <w:rsid w:val="0064003D"/>
    <w:rsid w:val="006C0D60"/>
    <w:rsid w:val="006D0561"/>
    <w:rsid w:val="0070189A"/>
    <w:rsid w:val="007409A9"/>
    <w:rsid w:val="00751B38"/>
    <w:rsid w:val="00783985"/>
    <w:rsid w:val="007C6326"/>
    <w:rsid w:val="007D293D"/>
    <w:rsid w:val="0083363C"/>
    <w:rsid w:val="00835E5A"/>
    <w:rsid w:val="008506B4"/>
    <w:rsid w:val="008E12A9"/>
    <w:rsid w:val="00904C3E"/>
    <w:rsid w:val="00905B2B"/>
    <w:rsid w:val="00970C9D"/>
    <w:rsid w:val="009A29B3"/>
    <w:rsid w:val="00A6254D"/>
    <w:rsid w:val="00AD182C"/>
    <w:rsid w:val="00AE1E76"/>
    <w:rsid w:val="00B35FE3"/>
    <w:rsid w:val="00BC27A6"/>
    <w:rsid w:val="00BF7A50"/>
    <w:rsid w:val="00C82FB8"/>
    <w:rsid w:val="00C838BB"/>
    <w:rsid w:val="00D86863"/>
    <w:rsid w:val="00DA3FA8"/>
    <w:rsid w:val="00DC1E42"/>
    <w:rsid w:val="00DE5155"/>
    <w:rsid w:val="00E13E49"/>
    <w:rsid w:val="00E96EE2"/>
    <w:rsid w:val="00EE68EC"/>
    <w:rsid w:val="00F14363"/>
    <w:rsid w:val="00F518E5"/>
    <w:rsid w:val="00F643C6"/>
    <w:rsid w:val="00F960E8"/>
    <w:rsid w:val="00FD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lang w:val="x-none" w:eastAsia="x-none"/>
    </w:rPr>
  </w:style>
  <w:style w:type="character" w:customStyle="1" w:styleId="Char">
    <w:name w:val="正文文本 Char"/>
    <w:link w:val="a3"/>
    <w:rsid w:val="00AE1E76"/>
    <w:rPr>
      <w:rFonts w:ascii="Calibri" w:eastAsia="宋体" w:hAnsi="Calibri" w:cs="Times New Roman"/>
      <w:lang w:val="x-none" w:eastAsia="x-none"/>
    </w:rPr>
  </w:style>
  <w:style w:type="paragraph" w:styleId="a4">
    <w:name w:val="footer"/>
    <w:basedOn w:val="a"/>
    <w:link w:val="Char0"/>
    <w:uiPriority w:val="99"/>
    <w:rsid w:val="000F6E49"/>
    <w:pPr>
      <w:tabs>
        <w:tab w:val="center" w:pos="4153"/>
        <w:tab w:val="right" w:pos="8306"/>
      </w:tabs>
      <w:snapToGrid w:val="0"/>
      <w:jc w:val="left"/>
    </w:pPr>
    <w:rPr>
      <w:rFonts w:ascii="Times New Roman" w:hAnsi="Times New Roman"/>
      <w:sz w:val="18"/>
      <w:szCs w:val="18"/>
      <w:lang w:val="x-none" w:eastAsia="x-none"/>
    </w:rPr>
  </w:style>
  <w:style w:type="character" w:styleId="a5">
    <w:name w:val="page number"/>
    <w:basedOn w:val="a0"/>
    <w:rsid w:val="000F6E49"/>
  </w:style>
  <w:style w:type="paragraph" w:customStyle="1" w:styleId="a6">
    <w:basedOn w:val="a"/>
    <w:rsid w:val="000F6E49"/>
    <w:pPr>
      <w:widowControl/>
      <w:spacing w:after="160" w:line="240" w:lineRule="exact"/>
      <w:jc w:val="left"/>
    </w:pPr>
    <w:rPr>
      <w:rFonts w:ascii="Arial" w:eastAsia="Times New Roman" w:hAnsi="Arial" w:cs="Verdana"/>
      <w:b/>
      <w:kern w:val="0"/>
      <w:sz w:val="24"/>
      <w:szCs w:val="32"/>
      <w:lang w:eastAsia="en-US"/>
    </w:rPr>
  </w:style>
  <w:style w:type="paragraph" w:customStyle="1" w:styleId="CharCharCharCharCharChar1Char">
    <w:name w:val="Char Char Char Char Char Char1 Char"/>
    <w:basedOn w:val="a"/>
    <w:rsid w:val="00461523"/>
    <w:pPr>
      <w:widowControl/>
      <w:spacing w:after="160" w:line="240" w:lineRule="exact"/>
      <w:jc w:val="left"/>
    </w:pPr>
    <w:rPr>
      <w:rFonts w:ascii="Arial" w:eastAsia="Times New Roman" w:hAnsi="Arial" w:cs="Verdana"/>
      <w:b/>
      <w:kern w:val="0"/>
      <w:sz w:val="24"/>
      <w:szCs w:val="32"/>
      <w:lang w:eastAsia="en-US"/>
    </w:rPr>
  </w:style>
  <w:style w:type="paragraph" w:styleId="a7">
    <w:name w:val="header"/>
    <w:basedOn w:val="a"/>
    <w:link w:val="Char1"/>
    <w:uiPriority w:val="99"/>
    <w:unhideWhenUsed/>
    <w:rsid w:val="00013B0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7"/>
    <w:uiPriority w:val="99"/>
    <w:rsid w:val="00013B01"/>
    <w:rPr>
      <w:kern w:val="2"/>
      <w:sz w:val="18"/>
      <w:szCs w:val="18"/>
    </w:rPr>
  </w:style>
  <w:style w:type="character" w:customStyle="1" w:styleId="Char0">
    <w:name w:val="页脚 Char"/>
    <w:link w:val="a4"/>
    <w:uiPriority w:val="99"/>
    <w:rsid w:val="002D6AC9"/>
    <w:rPr>
      <w:rFonts w:ascii="Times New Roman" w:hAnsi="Times New Roman"/>
      <w:kern w:val="2"/>
      <w:sz w:val="18"/>
      <w:szCs w:val="18"/>
    </w:rPr>
  </w:style>
  <w:style w:type="paragraph" w:styleId="a8">
    <w:name w:val="Balloon Text"/>
    <w:basedOn w:val="a"/>
    <w:link w:val="Char2"/>
    <w:uiPriority w:val="99"/>
    <w:semiHidden/>
    <w:unhideWhenUsed/>
    <w:rsid w:val="00F518E5"/>
    <w:rPr>
      <w:sz w:val="18"/>
      <w:szCs w:val="18"/>
      <w:lang w:val="x-none" w:eastAsia="x-none"/>
    </w:rPr>
  </w:style>
  <w:style w:type="character" w:customStyle="1" w:styleId="Char2">
    <w:name w:val="批注框文本 Char"/>
    <w:link w:val="a8"/>
    <w:uiPriority w:val="99"/>
    <w:semiHidden/>
    <w:rsid w:val="00F518E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6263-1947-43CB-B28E-F0E1C05D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466</Words>
  <Characters>2659</Characters>
  <Application>Microsoft Office Word</Application>
  <DocSecurity>0</DocSecurity>
  <Lines>22</Lines>
  <Paragraphs>6</Paragraphs>
  <ScaleCrop>false</ScaleCrop>
  <Company>微软中国</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subject/>
  <dc:creator>管理员</dc:creator>
  <cp:keywords/>
  <dc:description/>
  <cp:lastModifiedBy> </cp:lastModifiedBy>
  <cp:revision>6</cp:revision>
  <dcterms:created xsi:type="dcterms:W3CDTF">2019-01-11T01:11:00Z</dcterms:created>
  <dcterms:modified xsi:type="dcterms:W3CDTF">2023-05-31T02:01:00Z</dcterms:modified>
</cp:coreProperties>
</file>