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cs="黑体"/>
          <w:sz w:val="32"/>
          <w:szCs w:val="32"/>
        </w:rPr>
      </w:pPr>
      <w:r>
        <w:rPr>
          <w:rFonts w:hint="eastAsia" w:ascii="黑体" w:hAnsi="黑体" w:eastAsia="黑体" w:cs="黑体"/>
          <w:sz w:val="32"/>
          <w:szCs w:val="32"/>
        </w:rPr>
        <w:t>附件2</w:t>
      </w:r>
    </w:p>
    <w:p>
      <w:pPr>
        <w:spacing w:line="560" w:lineRule="exact"/>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44"/>
          <w:szCs w:val="44"/>
        </w:rPr>
        <w:t>燃气锅炉安全提示</w:t>
      </w:r>
    </w:p>
    <w:p>
      <w:pPr>
        <w:spacing w:line="560" w:lineRule="exact"/>
        <w:rPr>
          <w:rFonts w:hint="eastAsia" w:ascii="方正仿宋_GB2312" w:hAnsi="方正仿宋_GB2312" w:eastAsia="方正仿宋_GB2312" w:cs="方正仿宋_GB2312"/>
          <w:sz w:val="32"/>
          <w:szCs w:val="32"/>
        </w:rPr>
      </w:pPr>
    </w:p>
    <w:p>
      <w:pPr>
        <w:spacing w:line="560" w:lineRule="exact"/>
        <w:ind w:firstLine="640"/>
        <w:rPr>
          <w:rFonts w:ascii="Times New Roman" w:hAnsi="Times New Roman" w:eastAsia="仿宋_GB2312"/>
          <w:sz w:val="32"/>
          <w:szCs w:val="32"/>
        </w:rPr>
      </w:pPr>
      <w:r>
        <w:rPr>
          <w:rFonts w:ascii="Times New Roman" w:hAnsi="Times New Roman" w:eastAsia="仿宋_GB2312"/>
          <w:sz w:val="32"/>
          <w:szCs w:val="32"/>
        </w:rPr>
        <w:t>属于特种设备的燃气锅炉使用时，在遵守《中华人民共和国特种设备安全法》、《特种设备安全监察条例》、《天津市特种设备安全条例》等法律法规的同时，还须严格执行《特种设备使用管理规则》（TSG 08-2017）、《锅炉安全技术规程》（TSG 11-2020）、《锅炉用液体和气体燃料燃烧器技术条件》（GB/T36699-2018）、《质检总局办公厅关于燃气锅炉风险警示的通告》（2017年第2号）等相关安全技术规范、标准及文件要求。现对燃气锅炉的主要使用要求及注意事项做如下提示：</w:t>
      </w:r>
    </w:p>
    <w:p>
      <w:pPr>
        <w:spacing w:line="560" w:lineRule="exact"/>
        <w:ind w:firstLine="640"/>
        <w:rPr>
          <w:rFonts w:hint="eastAsia" w:ascii="黑体" w:hAnsi="黑体" w:eastAsia="黑体" w:cs="黑体"/>
          <w:sz w:val="32"/>
          <w:szCs w:val="32"/>
        </w:rPr>
      </w:pPr>
      <w:r>
        <w:rPr>
          <w:rFonts w:hint="eastAsia" w:ascii="黑体" w:hAnsi="黑体" w:eastAsia="黑体" w:cs="黑体"/>
          <w:sz w:val="32"/>
          <w:szCs w:val="32"/>
        </w:rPr>
        <w:t>一、燃气锅炉安全使用要求</w:t>
      </w:r>
    </w:p>
    <w:p>
      <w:pPr>
        <w:spacing w:line="560" w:lineRule="exact"/>
        <w:ind w:firstLine="640"/>
        <w:rPr>
          <w:rFonts w:ascii="Times New Roman" w:hAnsi="Times New Roman" w:eastAsia="仿宋_GB2312"/>
          <w:sz w:val="32"/>
          <w:szCs w:val="32"/>
        </w:rPr>
      </w:pPr>
      <w:r>
        <w:rPr>
          <w:rFonts w:ascii="楷体_GB2312" w:hAnsi="楷体_GB2312" w:eastAsia="楷体_GB2312" w:cs="楷体_GB2312"/>
          <w:sz w:val="32"/>
          <w:szCs w:val="32"/>
        </w:rPr>
        <w:t>（一）</w:t>
      </w:r>
      <w:r>
        <w:rPr>
          <w:rFonts w:ascii="Times New Roman" w:hAnsi="Times New Roman" w:eastAsia="仿宋_GB2312"/>
          <w:sz w:val="32"/>
          <w:szCs w:val="32"/>
        </w:rPr>
        <w:t>锅炉使用单位应采购监督检验合格的锅炉产品，不得使用未经许可生产的锅炉，不得使用国家或者本市明令淘汰、已经报废的锅炉，不得使用未经检验或者检验不合格的锅炉，不得超过允许工作参数、范围使用锅炉。</w:t>
      </w:r>
    </w:p>
    <w:p>
      <w:pPr>
        <w:spacing w:line="560" w:lineRule="exact"/>
        <w:ind w:firstLine="640"/>
        <w:rPr>
          <w:rFonts w:ascii="Times New Roman" w:hAnsi="Times New Roman" w:eastAsia="仿宋_GB2312"/>
          <w:sz w:val="32"/>
          <w:szCs w:val="32"/>
        </w:rPr>
      </w:pPr>
      <w:r>
        <w:rPr>
          <w:rFonts w:hint="eastAsia" w:ascii="楷体_GB2312" w:hAnsi="楷体_GB2312" w:eastAsia="楷体_GB2312" w:cs="楷体_GB2312"/>
          <w:sz w:val="32"/>
          <w:szCs w:val="32"/>
        </w:rPr>
        <w:t>（二）</w:t>
      </w:r>
      <w:r>
        <w:rPr>
          <w:rFonts w:ascii="Times New Roman" w:hAnsi="Times New Roman" w:eastAsia="仿宋_GB2312"/>
          <w:sz w:val="32"/>
          <w:szCs w:val="32"/>
        </w:rPr>
        <w:t>使用单位在锅炉投入使用前，应当依法向特种设备安全监督管理部门提交相关资料，办理使用登记，取得使用登记证书。</w:t>
      </w:r>
    </w:p>
    <w:p>
      <w:pPr>
        <w:spacing w:line="560" w:lineRule="exact"/>
        <w:ind w:firstLine="640"/>
        <w:rPr>
          <w:rFonts w:ascii="Times New Roman" w:hAnsi="Times New Roman" w:eastAsia="仿宋_GB2312"/>
          <w:sz w:val="32"/>
          <w:szCs w:val="32"/>
        </w:rPr>
      </w:pPr>
      <w:r>
        <w:rPr>
          <w:rFonts w:ascii="楷体_GB2312" w:hAnsi="楷体_GB2312" w:eastAsia="楷体_GB2312" w:cs="楷体_GB2312"/>
          <w:sz w:val="32"/>
          <w:szCs w:val="32"/>
        </w:rPr>
        <w:t>（三）</w:t>
      </w:r>
      <w:r>
        <w:rPr>
          <w:rFonts w:ascii="Times New Roman" w:hAnsi="Times New Roman" w:eastAsia="仿宋_GB2312"/>
          <w:sz w:val="32"/>
          <w:szCs w:val="32"/>
        </w:rPr>
        <w:t>使用单位应当按照安全技术规范的要求，建立锅炉安全技术档案、锅炉使用管理制度和规程，并根据本单位锅炉使用情况建立锅炉及燃烧设备运行、检查、水汽质量测定、维修、保养、事故和交接班等记录。</w:t>
      </w:r>
    </w:p>
    <w:p>
      <w:pPr>
        <w:spacing w:line="560" w:lineRule="exact"/>
        <w:ind w:firstLine="640"/>
        <w:rPr>
          <w:rFonts w:ascii="Times New Roman" w:hAnsi="Times New Roman" w:eastAsia="仿宋_GB2312"/>
          <w:sz w:val="32"/>
          <w:szCs w:val="32"/>
        </w:rPr>
      </w:pPr>
      <w:r>
        <w:rPr>
          <w:rFonts w:ascii="楷体_GB2312" w:hAnsi="楷体_GB2312" w:eastAsia="楷体_GB2312" w:cs="楷体_GB2312"/>
          <w:sz w:val="32"/>
          <w:szCs w:val="32"/>
        </w:rPr>
        <w:t>（四）</w:t>
      </w:r>
      <w:r>
        <w:rPr>
          <w:rFonts w:ascii="Times New Roman" w:hAnsi="Times New Roman" w:eastAsia="仿宋_GB2312"/>
          <w:sz w:val="32"/>
          <w:szCs w:val="32"/>
        </w:rPr>
        <w:t>使用单位每月对锅炉至少进行1次月度检查，并且记录检查情况。月度检查内容主要为锅炉使用安全与节能管理制度是否有效执行，作业人员证书是否在有效期内，锅炉是否按规定进行定期检验，锅炉承压部件及其安全附件和仪表、联锁保护装置是否完好，燃烧器运行是否正常，是否对水（介）质定期进行化验分析，水（介）质未达到标准要求时是否及时处理，水封管是否堵塞，以及其他异常情况等。</w:t>
      </w:r>
    </w:p>
    <w:p>
      <w:pPr>
        <w:spacing w:line="560" w:lineRule="exact"/>
        <w:ind w:firstLine="640"/>
        <w:rPr>
          <w:rFonts w:ascii="方正仿宋_GB2312" w:hAnsi="方正仿宋_GB2312" w:eastAsia="方正仿宋_GB2312" w:cs="方正仿宋_GB2312"/>
          <w:sz w:val="32"/>
          <w:szCs w:val="32"/>
        </w:rPr>
      </w:pPr>
      <w:r>
        <w:rPr>
          <w:rFonts w:ascii="楷体_GB2312" w:hAnsi="楷体_GB2312" w:eastAsia="楷体_GB2312" w:cs="楷体_GB2312"/>
          <w:sz w:val="32"/>
          <w:szCs w:val="32"/>
        </w:rPr>
        <w:t>（五）</w:t>
      </w:r>
      <w:r>
        <w:rPr>
          <w:rFonts w:ascii="Times New Roman" w:hAnsi="Times New Roman" w:eastAsia="仿宋_GB2312"/>
          <w:sz w:val="32"/>
          <w:szCs w:val="32"/>
        </w:rPr>
        <w:t>使用单位应当按照安全技术规范的要求，在检验合格有效期届满前一个月向特种设备检验机构提出定期检验要求。未经定期检验或者检验不合格的锅炉，不得继续使用。</w:t>
      </w:r>
    </w:p>
    <w:p>
      <w:pPr>
        <w:spacing w:line="560" w:lineRule="exact"/>
        <w:ind w:firstLine="640"/>
        <w:rPr>
          <w:rFonts w:hint="eastAsia" w:ascii="黑体" w:hAnsi="黑体" w:eastAsia="黑体" w:cs="黑体"/>
          <w:sz w:val="32"/>
          <w:szCs w:val="32"/>
        </w:rPr>
      </w:pPr>
      <w:r>
        <w:rPr>
          <w:rFonts w:hint="eastAsia" w:ascii="黑体" w:hAnsi="黑体" w:eastAsia="黑体" w:cs="黑体"/>
          <w:sz w:val="32"/>
          <w:szCs w:val="32"/>
        </w:rPr>
        <w:t>二、燃气燃烧器安全使用要求</w:t>
      </w:r>
    </w:p>
    <w:p>
      <w:pPr>
        <w:spacing w:line="560" w:lineRule="exact"/>
        <w:ind w:firstLine="64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w:t>
      </w:r>
      <w:r>
        <w:rPr>
          <w:rFonts w:hint="eastAsia" w:ascii="仿宋_GB2312" w:hAnsi="仿宋_GB2312" w:eastAsia="仿宋_GB2312" w:cs="仿宋_GB2312"/>
          <w:sz w:val="32"/>
          <w:szCs w:val="32"/>
        </w:rPr>
        <w:t>锅炉用气体燃料燃烧器应当进行型式试验，取得型式试验合格证书和报告后，方能投入运行。</w:t>
      </w:r>
    </w:p>
    <w:p>
      <w:pPr>
        <w:spacing w:line="560" w:lineRule="exact"/>
        <w:ind w:firstLine="64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w:t>
      </w:r>
      <w:r>
        <w:rPr>
          <w:rFonts w:hint="eastAsia" w:ascii="仿宋_GB2312" w:hAnsi="仿宋_GB2312" w:eastAsia="仿宋_GB2312" w:cs="仿宋_GB2312"/>
          <w:sz w:val="32"/>
          <w:szCs w:val="32"/>
        </w:rPr>
        <w:t>燃烧器应当由锅炉制造单位选配。</w:t>
      </w:r>
    </w:p>
    <w:p>
      <w:pPr>
        <w:spacing w:line="560" w:lineRule="exact"/>
        <w:ind w:firstLine="64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w:t>
      </w:r>
      <w:r>
        <w:rPr>
          <w:rFonts w:hint="eastAsia" w:ascii="仿宋_GB2312" w:hAnsi="仿宋_GB2312" w:eastAsia="仿宋_GB2312" w:cs="仿宋_GB2312"/>
          <w:sz w:val="32"/>
          <w:szCs w:val="32"/>
        </w:rPr>
        <w:t>锅炉使用单位或委托有能力的机构每年应当对燃烧器进行检查，检查内容至少包括燃烧器管路是否密封、安全与控制装置是否齐全和完好、安全与控制功能是否缺失或失效、燃烧器运行是否正常。检查情况应当进行记录，可参考附表《燃烧器检查记录（参考模板）》。</w:t>
      </w:r>
    </w:p>
    <w:p>
      <w:pPr>
        <w:spacing w:line="560" w:lineRule="exact"/>
        <w:ind w:firstLine="64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（四）</w:t>
      </w:r>
      <w:r>
        <w:rPr>
          <w:rFonts w:hint="eastAsia" w:ascii="仿宋_GB2312" w:hAnsi="仿宋_GB2312" w:eastAsia="仿宋_GB2312" w:cs="仿宋_GB2312"/>
          <w:sz w:val="32"/>
          <w:szCs w:val="32"/>
        </w:rPr>
        <w:t>燃烧器更换属于锅炉重大修理，施工单位应取得相应级别的许可资格，并应在施工前按照规定办理告知、申请监督检验后施工，涉及锅炉改造的还应满足锅炉改造的相关要求。</w:t>
      </w:r>
    </w:p>
    <w:p>
      <w:pPr>
        <w:spacing w:line="560" w:lineRule="exact"/>
        <w:ind w:firstLine="64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（五）</w:t>
      </w:r>
      <w:r>
        <w:rPr>
          <w:rFonts w:hint="eastAsia" w:ascii="仿宋_GB2312" w:hAnsi="仿宋_GB2312" w:eastAsia="仿宋_GB2312" w:cs="仿宋_GB2312"/>
          <w:sz w:val="32"/>
          <w:szCs w:val="32"/>
        </w:rPr>
        <w:t>燃烧器的改造（燃烧器燃料种类、内部结构、燃烧方式发生重大变化时），应当由燃烧器的制造单位或者其授权的单位进行，改造后按照国家相关标准进行燃烧器性能测试。</w:t>
      </w:r>
    </w:p>
    <w:p>
      <w:pPr>
        <w:spacing w:line="560" w:lineRule="exact"/>
        <w:ind w:firstLine="64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（六）</w:t>
      </w:r>
      <w:r>
        <w:rPr>
          <w:rFonts w:hint="eastAsia" w:ascii="仿宋_GB2312" w:hAnsi="仿宋_GB2312" w:eastAsia="仿宋_GB2312" w:cs="仿宋_GB2312"/>
          <w:sz w:val="32"/>
          <w:szCs w:val="32"/>
        </w:rPr>
        <w:t>锅炉安装完成后进行的系统调试应当由锅炉使用单位与锅炉安装或锅炉制造企业共同完成，调试时应由持相应资质的锅炉作业人员进行锅炉操作。需对燃烧器进行调试时，应当由燃烧器制造单位或其授权单位的技术人员进行现场指导。锅炉系统和燃烧器调试期间，锅炉使用单位的安全管理机构应当确保无关人员不得在锅炉附近聚集。</w:t>
      </w:r>
    </w:p>
    <w:p>
      <w:pPr>
        <w:spacing w:line="560" w:lineRule="exact"/>
        <w:ind w:firstLine="640"/>
        <w:rPr>
          <w:rFonts w:ascii="方正仿宋_GB2312" w:hAnsi="方正仿宋_GB2312" w:eastAsia="方正仿宋_GB2312" w:cs="方正仿宋_GB2312"/>
          <w:sz w:val="32"/>
          <w:szCs w:val="32"/>
        </w:rPr>
      </w:pPr>
      <w:r>
        <w:rPr>
          <w:rFonts w:hint="eastAsia" w:ascii="黑体" w:hAnsi="黑体" w:eastAsia="黑体" w:cs="黑体"/>
          <w:sz w:val="32"/>
          <w:szCs w:val="32"/>
        </w:rPr>
        <w:t>三、燃气燃烧器使用注意事项</w:t>
      </w:r>
    </w:p>
    <w:p>
      <w:pPr>
        <w:spacing w:line="560" w:lineRule="exact"/>
        <w:ind w:firstLine="64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w:t>
      </w:r>
      <w:r>
        <w:rPr>
          <w:rFonts w:hint="eastAsia" w:ascii="仿宋_GB2312" w:hAnsi="仿宋_GB2312" w:eastAsia="仿宋_GB2312" w:cs="仿宋_GB2312"/>
          <w:sz w:val="32"/>
          <w:szCs w:val="32"/>
        </w:rPr>
        <w:t>燃烧器主要配件与型式试验证书、报告内容保持一致，安装、更换及改造后的燃烧器应调试合格，必要时进行验证性检测。</w:t>
      </w:r>
    </w:p>
    <w:p>
      <w:pPr>
        <w:spacing w:line="560" w:lineRule="exact"/>
        <w:ind w:firstLine="64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w:t>
      </w:r>
      <w:r>
        <w:rPr>
          <w:rFonts w:hint="eastAsia" w:ascii="仿宋_GB2312" w:hAnsi="仿宋_GB2312" w:eastAsia="仿宋_GB2312" w:cs="仿宋_GB2312"/>
          <w:sz w:val="32"/>
          <w:szCs w:val="32"/>
        </w:rPr>
        <w:t>燃烧器的任何改造、维修和更换都不得降低锅炉的安全性能和能效指标并应当符合环保要求。</w:t>
      </w:r>
    </w:p>
    <w:p>
      <w:pPr>
        <w:spacing w:line="560" w:lineRule="exact"/>
        <w:ind w:firstLine="64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w:t>
      </w:r>
      <w:r>
        <w:rPr>
          <w:rFonts w:hint="eastAsia" w:ascii="仿宋_GB2312" w:hAnsi="仿宋_GB2312" w:eastAsia="仿宋_GB2312" w:cs="仿宋_GB2312"/>
          <w:sz w:val="32"/>
          <w:szCs w:val="32"/>
        </w:rPr>
        <w:t>所更换燃烧器应与锅炉接口尺寸相匹配。若不匹配，不应通过自制一些连接装置把燃烧器与锅炉连接，不应对原燃气管路和仪表擅自改动。</w:t>
      </w:r>
    </w:p>
    <w:p>
      <w:pPr>
        <w:spacing w:line="560" w:lineRule="exact"/>
        <w:ind w:firstLine="64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（四）</w:t>
      </w:r>
      <w:r>
        <w:rPr>
          <w:rFonts w:hint="eastAsia" w:ascii="仿宋_GB2312" w:hAnsi="仿宋_GB2312" w:eastAsia="仿宋_GB2312" w:cs="仿宋_GB2312"/>
          <w:sz w:val="32"/>
          <w:szCs w:val="32"/>
        </w:rPr>
        <w:t>燃烧器在调试过程中使用手动模式时，锅炉操作人员必须在现场监视，锅炉系统正常后及时投入自动模式。</w:t>
      </w:r>
    </w:p>
    <w:p>
      <w:pPr>
        <w:spacing w:line="560" w:lineRule="exact"/>
        <w:ind w:firstLine="640"/>
        <w:rPr>
          <w:rFonts w:hint="eastAsia" w:ascii="楷体" w:hAnsi="楷体" w:eastAsia="楷体" w:cs="楷体"/>
          <w:sz w:val="32"/>
          <w:szCs w:val="32"/>
        </w:rPr>
      </w:pPr>
      <w:r>
        <w:rPr>
          <w:rFonts w:hint="eastAsia" w:ascii="楷体_GB2312" w:hAnsi="楷体_GB2312" w:eastAsia="楷体_GB2312" w:cs="楷体_GB2312"/>
          <w:sz w:val="32"/>
          <w:szCs w:val="32"/>
        </w:rPr>
        <w:t>（五）燃烧器点火程序控制要求。</w:t>
      </w:r>
    </w:p>
    <w:p>
      <w:pPr>
        <w:spacing w:line="560" w:lineRule="exact"/>
        <w:ind w:firstLine="640"/>
        <w:rPr>
          <w:rFonts w:ascii="Times New Roman" w:hAnsi="Times New Roman" w:eastAsia="仿宋_GB2312"/>
          <w:sz w:val="32"/>
          <w:szCs w:val="32"/>
        </w:rPr>
      </w:pPr>
      <w:r>
        <w:rPr>
          <w:rFonts w:ascii="Times New Roman" w:hAnsi="Times New Roman" w:eastAsia="仿宋_GB2312"/>
          <w:sz w:val="32"/>
          <w:szCs w:val="32"/>
        </w:rPr>
        <w:t>1.点火前，燃烧器</w:t>
      </w:r>
      <w:r>
        <w:rPr>
          <w:rFonts w:hint="eastAsia" w:ascii="Times New Roman" w:hAnsi="Times New Roman" w:eastAsia="仿宋_GB2312"/>
          <w:sz w:val="32"/>
          <w:szCs w:val="32"/>
        </w:rPr>
        <w:t>持续吹扫时间和吹扫时的风门位置应满足要求</w:t>
      </w:r>
      <w:r>
        <w:rPr>
          <w:rFonts w:ascii="Times New Roman" w:hAnsi="Times New Roman" w:eastAsia="仿宋_GB2312"/>
          <w:sz w:val="32"/>
          <w:szCs w:val="32"/>
        </w:rPr>
        <w:t>，以除去或稀释炉内和烟道内的残余气体，确保气体浓度不在爆炸极限内</w:t>
      </w:r>
      <w:r>
        <w:rPr>
          <w:rFonts w:hint="eastAsia" w:ascii="Times New Roman" w:hAnsi="Times New Roman" w:eastAsia="仿宋_GB2312"/>
          <w:sz w:val="32"/>
          <w:szCs w:val="32"/>
        </w:rPr>
        <w:t>，避免</w:t>
      </w:r>
      <w:r>
        <w:rPr>
          <w:rFonts w:ascii="Times New Roman" w:hAnsi="Times New Roman" w:eastAsia="仿宋_GB2312"/>
          <w:sz w:val="32"/>
          <w:szCs w:val="32"/>
        </w:rPr>
        <w:t>发生事故。</w:t>
      </w:r>
    </w:p>
    <w:p>
      <w:pPr>
        <w:spacing w:line="560" w:lineRule="exact"/>
        <w:ind w:firstLine="640"/>
        <w:rPr>
          <w:rFonts w:ascii="Times New Roman" w:hAnsi="Times New Roman" w:eastAsia="仿宋_GB2312"/>
          <w:sz w:val="32"/>
          <w:szCs w:val="32"/>
        </w:rPr>
      </w:pPr>
      <w:r>
        <w:rPr>
          <w:rFonts w:ascii="Times New Roman" w:hAnsi="Times New Roman" w:eastAsia="仿宋_GB2312"/>
          <w:sz w:val="32"/>
          <w:szCs w:val="32"/>
        </w:rPr>
        <w:t>2.在点火程序控制中，点火前的总通风量应当不小于3倍的从炉膛到烟囱进口烟道总容积；锅壳锅炉、贯流锅炉和非发电用直流锅炉的通风时间至少持续20s，水管锅炉的通风时间至少持续60s，电站锅炉的通风时间一般应当持续3min以上；由于结构原因不易做到充分吹扫时，应当适当延长通风时间。</w:t>
      </w:r>
    </w:p>
    <w:p>
      <w:pPr>
        <w:spacing w:line="560" w:lineRule="exact"/>
        <w:ind w:firstLine="640"/>
        <w:rPr>
          <w:rFonts w:ascii="Times New Roman" w:hAnsi="Times New Roman" w:eastAsia="仿宋_GB2312"/>
          <w:sz w:val="32"/>
          <w:szCs w:val="32"/>
        </w:rPr>
      </w:pPr>
      <w:r>
        <w:rPr>
          <w:rFonts w:ascii="Times New Roman" w:hAnsi="Times New Roman" w:eastAsia="仿宋_GB2312"/>
          <w:sz w:val="32"/>
          <w:szCs w:val="32"/>
        </w:rPr>
        <w:t>3.单位时间通风量一般保持额定负荷下的燃烧空气量，对额定功率较大的燃烧器，可以适当降低但不能低于额定负荷下燃烧空气量的50%；电站锅炉一般保持额定负荷下25%～40%的燃烧空气量。</w:t>
      </w:r>
    </w:p>
    <w:p>
      <w:pPr>
        <w:spacing w:line="560" w:lineRule="exact"/>
        <w:ind w:firstLine="64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（六）安全时间要求</w:t>
      </w:r>
    </w:p>
    <w:p>
      <w:pPr>
        <w:spacing w:line="560" w:lineRule="exact"/>
        <w:ind w:firstLine="640"/>
        <w:rPr>
          <w:rFonts w:ascii="Times New Roman" w:hAnsi="Times New Roman" w:eastAsia="仿宋_GB2312"/>
          <w:b/>
          <w:bCs/>
          <w:sz w:val="32"/>
          <w:szCs w:val="32"/>
        </w:rPr>
      </w:pPr>
      <w:r>
        <w:rPr>
          <w:rFonts w:ascii="Times New Roman" w:hAnsi="Times New Roman" w:eastAsia="仿宋_GB2312"/>
          <w:b/>
          <w:bCs/>
          <w:sz w:val="32"/>
          <w:szCs w:val="32"/>
        </w:rPr>
        <w:t>1.点火安全时间</w:t>
      </w:r>
    </w:p>
    <w:p>
      <w:pPr>
        <w:spacing w:line="560" w:lineRule="exact"/>
        <w:ind w:firstLine="640"/>
        <w:rPr>
          <w:rFonts w:ascii="Times New Roman" w:hAnsi="Times New Roman" w:eastAsia="仿宋_GB2312"/>
          <w:sz w:val="32"/>
          <w:szCs w:val="32"/>
        </w:rPr>
      </w:pPr>
      <w:r>
        <w:rPr>
          <w:rFonts w:ascii="Times New Roman" w:hAnsi="Times New Roman" w:eastAsia="仿宋_GB2312"/>
          <w:sz w:val="32"/>
          <w:szCs w:val="32"/>
        </w:rPr>
        <w:t>（1）锅炉可通过点火燃烧器启动或通过主燃烧器直接点火启动。燃烧器启动时，从燃料进入炉膛点火失败到燃料快速切断装置开始动作的时间为点火安全时间。</w:t>
      </w:r>
    </w:p>
    <w:p>
      <w:pPr>
        <w:spacing w:line="560" w:lineRule="exact"/>
        <w:ind w:firstLine="640"/>
        <w:rPr>
          <w:rFonts w:ascii="Times New Roman" w:hAnsi="Times New Roman" w:eastAsia="仿宋_GB2312"/>
          <w:sz w:val="32"/>
          <w:szCs w:val="32"/>
        </w:rPr>
      </w:pPr>
      <w:r>
        <w:rPr>
          <w:rFonts w:ascii="Times New Roman" w:hAnsi="Times New Roman" w:eastAsia="仿宋_GB2312"/>
          <w:sz w:val="32"/>
          <w:szCs w:val="32"/>
        </w:rPr>
        <w:t>（2）主燃烧器额定输出热功率不超过70kW，直接点火安全时间不超过5s, 采用点火燃烧器的点火安全时间不超过5s。</w:t>
      </w:r>
    </w:p>
    <w:p>
      <w:pPr>
        <w:spacing w:line="560" w:lineRule="exact"/>
        <w:ind w:firstLine="640"/>
        <w:rPr>
          <w:rFonts w:ascii="Times New Roman" w:hAnsi="Times New Roman" w:eastAsia="仿宋_GB2312"/>
          <w:sz w:val="32"/>
          <w:szCs w:val="32"/>
        </w:rPr>
      </w:pPr>
      <w:r>
        <w:rPr>
          <w:rFonts w:ascii="Times New Roman" w:hAnsi="Times New Roman" w:eastAsia="仿宋_GB2312"/>
          <w:sz w:val="32"/>
          <w:szCs w:val="32"/>
        </w:rPr>
        <w:t>（3）主燃烧器额定输出热功率在70 kW和120 kW之间，直接点火安全时间不超过3s，采用点火燃烧器的点火安全时间不超过5s。</w:t>
      </w:r>
    </w:p>
    <w:p>
      <w:pPr>
        <w:spacing w:line="560" w:lineRule="exact"/>
        <w:ind w:firstLine="640"/>
        <w:rPr>
          <w:rFonts w:ascii="Times New Roman" w:hAnsi="Times New Roman" w:eastAsia="仿宋_GB2312"/>
          <w:sz w:val="32"/>
          <w:szCs w:val="32"/>
        </w:rPr>
      </w:pPr>
      <w:r>
        <w:rPr>
          <w:rFonts w:ascii="Times New Roman" w:hAnsi="Times New Roman" w:eastAsia="仿宋_GB2312"/>
          <w:sz w:val="32"/>
          <w:szCs w:val="32"/>
        </w:rPr>
        <w:t>（4）主燃烧器额定输出热功率大于120 kW，降低功率直接点火安全时间不超过3s，采用点火燃烧器的点火安全时间不超过3s。</w:t>
      </w:r>
    </w:p>
    <w:p>
      <w:pPr>
        <w:spacing w:line="560" w:lineRule="exact"/>
        <w:ind w:firstLine="640"/>
        <w:rPr>
          <w:rFonts w:ascii="Times New Roman" w:hAnsi="Times New Roman" w:eastAsia="仿宋_GB2312"/>
          <w:sz w:val="32"/>
          <w:szCs w:val="32"/>
        </w:rPr>
      </w:pPr>
      <w:r>
        <w:rPr>
          <w:rFonts w:ascii="Times New Roman" w:hAnsi="Times New Roman" w:eastAsia="仿宋_GB2312"/>
          <w:b/>
          <w:bCs/>
          <w:sz w:val="32"/>
          <w:szCs w:val="32"/>
        </w:rPr>
        <w:t>2.熄火安全时间</w:t>
      </w:r>
    </w:p>
    <w:p>
      <w:pPr>
        <w:spacing w:line="560" w:lineRule="exact"/>
        <w:ind w:firstLine="640"/>
        <w:rPr>
          <w:rFonts w:ascii="Times New Roman" w:hAnsi="Times New Roman" w:eastAsia="仿宋_GB2312"/>
          <w:sz w:val="32"/>
          <w:szCs w:val="32"/>
        </w:rPr>
      </w:pPr>
      <w:r>
        <w:rPr>
          <w:rFonts w:ascii="Times New Roman" w:hAnsi="Times New Roman" w:eastAsia="仿宋_GB2312"/>
          <w:sz w:val="32"/>
          <w:szCs w:val="32"/>
        </w:rPr>
        <w:t>火焰监测装置必须动态监测燃烧状态，一旦火焰熄灭，从火焰熄灭到快速切断装置开始动作的时间为熄火安全时间，熄火安全时间应不超过1s，若出现熄火时监测装置正在自检，则响应时间不超过2s。</w:t>
      </w:r>
    </w:p>
    <w:p>
      <w:pPr>
        <w:spacing w:line="560" w:lineRule="exact"/>
        <w:ind w:firstLine="64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（七）故障重启要求</w:t>
      </w:r>
    </w:p>
    <w:p>
      <w:pPr>
        <w:spacing w:line="560" w:lineRule="exact"/>
        <w:ind w:firstLine="640"/>
        <w:rPr>
          <w:rFonts w:ascii="Times New Roman" w:hAnsi="Times New Roman" w:eastAsia="仿宋_GB2312"/>
          <w:sz w:val="32"/>
          <w:szCs w:val="32"/>
        </w:rPr>
      </w:pPr>
      <w:r>
        <w:rPr>
          <w:rFonts w:ascii="Times New Roman" w:hAnsi="Times New Roman" w:eastAsia="仿宋_GB2312"/>
          <w:sz w:val="32"/>
          <w:szCs w:val="32"/>
        </w:rPr>
        <w:t>1.前吹扫期间发生故障，应安全停机并联锁保护。对输出热功率不超过120 kW的燃烧器，允许安全停机后重启一次，重启失败应安全停机并联锁保护。</w:t>
      </w:r>
    </w:p>
    <w:p>
      <w:pPr>
        <w:spacing w:line="560" w:lineRule="exact"/>
        <w:ind w:firstLine="640"/>
        <w:rPr>
          <w:rFonts w:ascii="Times New Roman" w:hAnsi="Times New Roman" w:eastAsia="仿宋_GB2312"/>
          <w:sz w:val="32"/>
          <w:szCs w:val="32"/>
        </w:rPr>
      </w:pPr>
      <w:r>
        <w:rPr>
          <w:rFonts w:ascii="Times New Roman" w:hAnsi="Times New Roman" w:eastAsia="仿宋_GB2312"/>
          <w:sz w:val="32"/>
          <w:szCs w:val="32"/>
        </w:rPr>
        <w:t>2.点火期间发生火焰故障应安全停机并联锁保护。对强制鼓风燃烧器，可按照完整启动程序最多重启2次，若2次重启均失败，应安全停机并联锁保护。</w:t>
      </w:r>
    </w:p>
    <w:p>
      <w:pPr>
        <w:spacing w:line="560" w:lineRule="exact"/>
        <w:ind w:firstLine="64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（八）后吹扫要求</w:t>
      </w:r>
    </w:p>
    <w:p>
      <w:pPr>
        <w:spacing w:line="560" w:lineRule="exact"/>
        <w:ind w:firstLine="640"/>
        <w:rPr>
          <w:rFonts w:ascii="Times New Roman" w:hAnsi="Times New Roman" w:eastAsia="仿宋_GB2312"/>
          <w:sz w:val="32"/>
          <w:szCs w:val="32"/>
        </w:rPr>
      </w:pPr>
      <w:r>
        <w:rPr>
          <w:rFonts w:ascii="Times New Roman" w:hAnsi="Times New Roman" w:eastAsia="仿宋_GB2312"/>
          <w:sz w:val="32"/>
          <w:szCs w:val="32"/>
        </w:rPr>
        <w:t>1.燃烧器受控停机后</w:t>
      </w:r>
      <w:r>
        <w:rPr>
          <w:rFonts w:hint="eastAsia" w:ascii="Times New Roman" w:hAnsi="Times New Roman" w:eastAsia="仿宋_GB2312"/>
          <w:sz w:val="32"/>
          <w:szCs w:val="32"/>
        </w:rPr>
        <w:t>，应立即进行吹扫。</w:t>
      </w:r>
      <w:r>
        <w:rPr>
          <w:rFonts w:ascii="Times New Roman" w:hAnsi="Times New Roman" w:eastAsia="仿宋_GB2312"/>
          <w:sz w:val="32"/>
          <w:szCs w:val="32"/>
        </w:rPr>
        <w:t>燃烧器</w:t>
      </w:r>
      <w:r>
        <w:rPr>
          <w:rFonts w:hint="eastAsia" w:ascii="Times New Roman" w:hAnsi="Times New Roman" w:eastAsia="仿宋_GB2312"/>
          <w:sz w:val="32"/>
          <w:szCs w:val="32"/>
        </w:rPr>
        <w:t>持续吹扫时间和吹扫时的风门位置应满足要求</w:t>
      </w:r>
      <w:r>
        <w:rPr>
          <w:rFonts w:ascii="Times New Roman" w:hAnsi="Times New Roman" w:eastAsia="仿宋_GB2312"/>
          <w:sz w:val="32"/>
          <w:szCs w:val="32"/>
        </w:rPr>
        <w:t>，以除去或稀释炉内和烟道内的残余气体，确保气体浓度不在爆炸极限内</w:t>
      </w:r>
      <w:r>
        <w:rPr>
          <w:rFonts w:hint="eastAsia" w:ascii="Times New Roman" w:hAnsi="Times New Roman" w:eastAsia="仿宋_GB2312"/>
          <w:sz w:val="32"/>
          <w:szCs w:val="32"/>
        </w:rPr>
        <w:t>，避免</w:t>
      </w:r>
      <w:r>
        <w:rPr>
          <w:rFonts w:ascii="Times New Roman" w:hAnsi="Times New Roman" w:eastAsia="仿宋_GB2312"/>
          <w:sz w:val="32"/>
          <w:szCs w:val="32"/>
        </w:rPr>
        <w:t>发生事故。</w:t>
      </w:r>
    </w:p>
    <w:p>
      <w:pPr>
        <w:spacing w:line="560" w:lineRule="exact"/>
        <w:ind w:firstLine="640"/>
        <w:rPr>
          <w:rFonts w:ascii="Times New Roman" w:hAnsi="Times New Roman" w:eastAsia="仿宋_GB2312"/>
          <w:sz w:val="32"/>
          <w:szCs w:val="32"/>
        </w:rPr>
      </w:pPr>
      <w:r>
        <w:rPr>
          <w:rFonts w:ascii="Times New Roman" w:hAnsi="Times New Roman" w:eastAsia="仿宋_GB2312"/>
          <w:sz w:val="32"/>
          <w:szCs w:val="32"/>
        </w:rPr>
        <w:t>2.熄火保护装置动作时，应当保证自动切断燃料供给，并进行充分后吹扫。</w:t>
      </w:r>
    </w:p>
    <w:p>
      <w:pPr>
        <w:spacing w:line="560" w:lineRule="exact"/>
        <w:ind w:firstLine="64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（九）停机与连锁保护要求</w:t>
      </w:r>
    </w:p>
    <w:p>
      <w:pPr>
        <w:spacing w:line="560" w:lineRule="exact"/>
        <w:ind w:firstLine="640"/>
        <w:rPr>
          <w:rFonts w:ascii="Times New Roman" w:hAnsi="Times New Roman" w:eastAsia="仿宋_GB2312"/>
          <w:sz w:val="32"/>
          <w:szCs w:val="32"/>
        </w:rPr>
      </w:pPr>
      <w:r>
        <w:rPr>
          <w:rFonts w:ascii="Times New Roman" w:hAnsi="Times New Roman" w:eastAsia="仿宋_GB2312"/>
          <w:sz w:val="32"/>
          <w:szCs w:val="32"/>
        </w:rPr>
        <w:t>燃烧器在启动和运行过程中出现以下情况，应当在安全时间内实现系统联锁保护：a)火焰故障信号；b)燃气高压保护信号；c）空气流量故障信号；d)设有位置验证的燃烧器，位置验证异常；e）燃气阀门检漏报警信号；f)与锅炉有关的控制，如压力、水位、温度等参数超限。</w:t>
      </w:r>
    </w:p>
    <w:p>
      <w:pPr>
        <w:spacing w:line="560" w:lineRule="exact"/>
        <w:ind w:firstLine="640"/>
        <w:rPr>
          <w:rFonts w:hint="eastAsia" w:ascii="黑体" w:hAnsi="黑体" w:eastAsia="黑体" w:cs="黑体"/>
          <w:sz w:val="32"/>
          <w:szCs w:val="32"/>
        </w:rPr>
      </w:pPr>
      <w:r>
        <w:rPr>
          <w:rFonts w:hint="eastAsia" w:ascii="黑体" w:hAnsi="黑体" w:eastAsia="黑体" w:cs="黑体"/>
          <w:sz w:val="32"/>
          <w:szCs w:val="32"/>
        </w:rPr>
        <w:t>四、燃气锅炉及燃气燃烧器风险防范措施</w:t>
      </w:r>
    </w:p>
    <w:p>
      <w:pPr>
        <w:spacing w:line="560" w:lineRule="exact"/>
        <w:ind w:firstLine="640"/>
        <w:rPr>
          <w:rFonts w:hint="eastAsia" w:ascii="楷体" w:hAnsi="楷体" w:eastAsia="楷体" w:cs="楷体"/>
          <w:sz w:val="32"/>
          <w:szCs w:val="32"/>
        </w:rPr>
      </w:pPr>
      <w:r>
        <w:rPr>
          <w:rFonts w:hint="eastAsia" w:ascii="楷体_GB2312" w:hAnsi="楷体_GB2312" w:eastAsia="楷体_GB2312" w:cs="楷体_GB2312"/>
          <w:sz w:val="32"/>
          <w:szCs w:val="32"/>
        </w:rPr>
        <w:t>（一）燃气锅炉风险防范措施</w:t>
      </w:r>
    </w:p>
    <w:p>
      <w:pPr>
        <w:spacing w:line="560" w:lineRule="exact"/>
        <w:jc w:val="center"/>
        <w:rPr>
          <w:rFonts w:ascii="Times New Roman" w:hAnsi="Times New Roman" w:eastAsia="仿宋_GB2312"/>
          <w:sz w:val="32"/>
          <w:szCs w:val="32"/>
        </w:rPr>
      </w:pPr>
      <w:r>
        <w:rPr>
          <w:rFonts w:ascii="Times New Roman" w:hAnsi="Times New Roman" w:eastAsia="仿宋_GB2312"/>
          <w:sz w:val="32"/>
          <w:szCs w:val="32"/>
        </w:rPr>
        <w:t>表1：燃气锅炉风险点及防范措施</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9"/>
        <w:gridCol w:w="2310"/>
        <w:gridCol w:w="1987"/>
        <w:gridCol w:w="3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shd w:val="clear" w:color="auto" w:fill="auto"/>
            <w:noWrap w:val="0"/>
            <w:vAlign w:val="center"/>
          </w:tcPr>
          <w:p>
            <w:pPr>
              <w:spacing w:line="420" w:lineRule="exact"/>
              <w:jc w:val="center"/>
              <w:rPr>
                <w:rFonts w:ascii="Times New Roman" w:hAnsi="Times New Roman" w:eastAsia="仿宋_GB2312"/>
                <w:b/>
                <w:bCs/>
                <w:sz w:val="32"/>
                <w:szCs w:val="32"/>
              </w:rPr>
            </w:pPr>
            <w:r>
              <w:rPr>
                <w:rFonts w:ascii="Times New Roman" w:hAnsi="Times New Roman" w:eastAsia="仿宋_GB2312"/>
                <w:b/>
                <w:bCs/>
                <w:sz w:val="32"/>
                <w:szCs w:val="32"/>
              </w:rPr>
              <w:t>序号</w:t>
            </w:r>
          </w:p>
        </w:tc>
        <w:tc>
          <w:tcPr>
            <w:tcW w:w="2310" w:type="dxa"/>
            <w:shd w:val="clear" w:color="auto" w:fill="auto"/>
            <w:noWrap w:val="0"/>
            <w:vAlign w:val="center"/>
          </w:tcPr>
          <w:p>
            <w:pPr>
              <w:spacing w:line="420" w:lineRule="exact"/>
              <w:jc w:val="center"/>
              <w:rPr>
                <w:rFonts w:ascii="Times New Roman" w:hAnsi="Times New Roman" w:eastAsia="仿宋_GB2312"/>
                <w:b/>
                <w:bCs/>
                <w:sz w:val="32"/>
                <w:szCs w:val="32"/>
              </w:rPr>
            </w:pPr>
            <w:r>
              <w:rPr>
                <w:rFonts w:ascii="Times New Roman" w:hAnsi="Times New Roman" w:eastAsia="仿宋_GB2312"/>
                <w:b/>
                <w:bCs/>
                <w:sz w:val="32"/>
                <w:szCs w:val="32"/>
              </w:rPr>
              <w:t>风险点</w:t>
            </w:r>
          </w:p>
        </w:tc>
        <w:tc>
          <w:tcPr>
            <w:tcW w:w="1987" w:type="dxa"/>
            <w:shd w:val="clear" w:color="auto" w:fill="auto"/>
            <w:noWrap w:val="0"/>
            <w:vAlign w:val="center"/>
          </w:tcPr>
          <w:p>
            <w:pPr>
              <w:spacing w:line="420" w:lineRule="exact"/>
              <w:jc w:val="center"/>
              <w:rPr>
                <w:rFonts w:ascii="Times New Roman" w:hAnsi="Times New Roman" w:eastAsia="仿宋_GB2312"/>
                <w:b/>
                <w:bCs/>
                <w:sz w:val="32"/>
                <w:szCs w:val="32"/>
              </w:rPr>
            </w:pPr>
            <w:r>
              <w:rPr>
                <w:rFonts w:ascii="Times New Roman" w:hAnsi="Times New Roman" w:eastAsia="仿宋_GB2312"/>
                <w:b/>
                <w:bCs/>
                <w:sz w:val="32"/>
                <w:szCs w:val="32"/>
              </w:rPr>
              <w:t>不良后果</w:t>
            </w:r>
          </w:p>
        </w:tc>
        <w:tc>
          <w:tcPr>
            <w:tcW w:w="3905" w:type="dxa"/>
            <w:shd w:val="clear" w:color="auto" w:fill="auto"/>
            <w:noWrap w:val="0"/>
            <w:vAlign w:val="center"/>
          </w:tcPr>
          <w:p>
            <w:pPr>
              <w:spacing w:line="420" w:lineRule="exact"/>
              <w:jc w:val="center"/>
              <w:rPr>
                <w:rFonts w:ascii="Times New Roman" w:hAnsi="Times New Roman" w:eastAsia="仿宋_GB2312"/>
                <w:b/>
                <w:bCs/>
                <w:sz w:val="32"/>
                <w:szCs w:val="32"/>
              </w:rPr>
            </w:pPr>
            <w:r>
              <w:rPr>
                <w:rFonts w:ascii="Times New Roman" w:hAnsi="Times New Roman" w:eastAsia="仿宋_GB2312"/>
                <w:b/>
                <w:bCs/>
                <w:sz w:val="32"/>
                <w:szCs w:val="32"/>
              </w:rPr>
              <w:t>防范措施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trPr>
        <w:tc>
          <w:tcPr>
            <w:tcW w:w="859" w:type="dxa"/>
            <w:shd w:val="clear" w:color="auto" w:fill="auto"/>
            <w:noWrap w:val="0"/>
            <w:vAlign w:val="center"/>
          </w:tcPr>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1</w:t>
            </w:r>
          </w:p>
        </w:tc>
        <w:tc>
          <w:tcPr>
            <w:tcW w:w="2310" w:type="dxa"/>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锅炉燃烧器运行故障。</w:t>
            </w:r>
          </w:p>
        </w:tc>
        <w:tc>
          <w:tcPr>
            <w:tcW w:w="1987" w:type="dxa"/>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锅炉无法运行，发生事故等</w:t>
            </w:r>
          </w:p>
        </w:tc>
        <w:tc>
          <w:tcPr>
            <w:tcW w:w="3905" w:type="dxa"/>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锅炉使用单位应定期进行燃烧器维护保养、检测。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trPr>
        <w:tc>
          <w:tcPr>
            <w:tcW w:w="859" w:type="dxa"/>
            <w:vMerge w:val="restart"/>
            <w:shd w:val="clear" w:color="auto" w:fill="auto"/>
            <w:noWrap w:val="0"/>
            <w:vAlign w:val="center"/>
          </w:tcPr>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2</w:t>
            </w:r>
          </w:p>
        </w:tc>
        <w:tc>
          <w:tcPr>
            <w:tcW w:w="2310" w:type="dxa"/>
            <w:vMerge w:val="restart"/>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燃气锅炉以及风机运行不稳定。</w:t>
            </w:r>
          </w:p>
        </w:tc>
        <w:tc>
          <w:tcPr>
            <w:tcW w:w="1987" w:type="dxa"/>
            <w:vMerge w:val="restart"/>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锅炉异常停机，燃料消耗量增加。</w:t>
            </w:r>
          </w:p>
        </w:tc>
        <w:tc>
          <w:tcPr>
            <w:tcW w:w="3905" w:type="dxa"/>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锅炉调试完成后，不要随意改动燃烧器参数。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trPr>
        <w:tc>
          <w:tcPr>
            <w:tcW w:w="859" w:type="dxa"/>
            <w:vMerge w:val="continue"/>
            <w:shd w:val="clear" w:color="auto" w:fill="auto"/>
            <w:noWrap w:val="0"/>
            <w:vAlign w:val="center"/>
          </w:tcPr>
          <w:p>
            <w:pPr>
              <w:spacing w:line="360" w:lineRule="exact"/>
              <w:jc w:val="center"/>
              <w:rPr>
                <w:rFonts w:ascii="Times New Roman" w:hAnsi="Times New Roman" w:eastAsia="仿宋_GB2312"/>
                <w:sz w:val="28"/>
                <w:szCs w:val="28"/>
              </w:rPr>
            </w:pPr>
          </w:p>
        </w:tc>
        <w:tc>
          <w:tcPr>
            <w:tcW w:w="2310" w:type="dxa"/>
            <w:vMerge w:val="continue"/>
            <w:shd w:val="clear" w:color="auto" w:fill="auto"/>
            <w:noWrap w:val="0"/>
            <w:vAlign w:val="center"/>
          </w:tcPr>
          <w:p>
            <w:pPr>
              <w:spacing w:line="360" w:lineRule="exact"/>
              <w:rPr>
                <w:rFonts w:ascii="Times New Roman" w:hAnsi="Times New Roman" w:eastAsia="仿宋_GB2312"/>
                <w:sz w:val="28"/>
                <w:szCs w:val="28"/>
              </w:rPr>
            </w:pPr>
          </w:p>
        </w:tc>
        <w:tc>
          <w:tcPr>
            <w:tcW w:w="1987" w:type="dxa"/>
            <w:vMerge w:val="continue"/>
            <w:shd w:val="clear" w:color="auto" w:fill="auto"/>
            <w:noWrap w:val="0"/>
            <w:vAlign w:val="center"/>
          </w:tcPr>
          <w:p>
            <w:pPr>
              <w:spacing w:line="360" w:lineRule="exact"/>
              <w:rPr>
                <w:rFonts w:ascii="Times New Roman" w:hAnsi="Times New Roman" w:eastAsia="仿宋_GB2312"/>
                <w:sz w:val="28"/>
                <w:szCs w:val="28"/>
              </w:rPr>
            </w:pPr>
          </w:p>
        </w:tc>
        <w:tc>
          <w:tcPr>
            <w:tcW w:w="3905" w:type="dxa"/>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检查锅炉房电力供应系统，确保电力供应系统稳定。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trPr>
        <w:tc>
          <w:tcPr>
            <w:tcW w:w="859" w:type="dxa"/>
            <w:vMerge w:val="restart"/>
            <w:shd w:val="clear" w:color="auto" w:fill="auto"/>
            <w:noWrap w:val="0"/>
            <w:vAlign w:val="center"/>
          </w:tcPr>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3</w:t>
            </w:r>
          </w:p>
        </w:tc>
        <w:tc>
          <w:tcPr>
            <w:tcW w:w="2310" w:type="dxa"/>
            <w:vMerge w:val="restart"/>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氧气和天然气供应不足。</w:t>
            </w:r>
          </w:p>
        </w:tc>
        <w:tc>
          <w:tcPr>
            <w:tcW w:w="1987" w:type="dxa"/>
            <w:vMerge w:val="restart"/>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供热能力下降，设备无法正常运行。</w:t>
            </w:r>
          </w:p>
        </w:tc>
        <w:tc>
          <w:tcPr>
            <w:tcW w:w="3905" w:type="dxa"/>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锅炉房应保证与室外有足够的通风面积，确保空气量充足。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859" w:type="dxa"/>
            <w:vMerge w:val="continue"/>
            <w:shd w:val="clear" w:color="auto" w:fill="auto"/>
            <w:noWrap w:val="0"/>
            <w:vAlign w:val="center"/>
          </w:tcPr>
          <w:p>
            <w:pPr>
              <w:spacing w:line="360" w:lineRule="exact"/>
              <w:jc w:val="center"/>
              <w:rPr>
                <w:rFonts w:ascii="Times New Roman" w:hAnsi="Times New Roman" w:eastAsia="仿宋_GB2312"/>
                <w:sz w:val="28"/>
                <w:szCs w:val="28"/>
              </w:rPr>
            </w:pPr>
          </w:p>
        </w:tc>
        <w:tc>
          <w:tcPr>
            <w:tcW w:w="2310" w:type="dxa"/>
            <w:vMerge w:val="continue"/>
            <w:shd w:val="clear" w:color="auto" w:fill="auto"/>
            <w:noWrap w:val="0"/>
            <w:vAlign w:val="center"/>
          </w:tcPr>
          <w:p>
            <w:pPr>
              <w:spacing w:line="360" w:lineRule="exact"/>
              <w:rPr>
                <w:rFonts w:ascii="Times New Roman" w:hAnsi="Times New Roman" w:eastAsia="仿宋_GB2312"/>
                <w:sz w:val="28"/>
                <w:szCs w:val="28"/>
              </w:rPr>
            </w:pPr>
          </w:p>
        </w:tc>
        <w:tc>
          <w:tcPr>
            <w:tcW w:w="1987" w:type="dxa"/>
            <w:vMerge w:val="continue"/>
            <w:shd w:val="clear" w:color="auto" w:fill="auto"/>
            <w:noWrap w:val="0"/>
            <w:vAlign w:val="center"/>
          </w:tcPr>
          <w:p>
            <w:pPr>
              <w:spacing w:line="360" w:lineRule="exact"/>
              <w:rPr>
                <w:rFonts w:ascii="Times New Roman" w:hAnsi="Times New Roman" w:eastAsia="仿宋_GB2312"/>
                <w:sz w:val="28"/>
                <w:szCs w:val="28"/>
              </w:rPr>
            </w:pPr>
          </w:p>
        </w:tc>
        <w:tc>
          <w:tcPr>
            <w:tcW w:w="3905" w:type="dxa"/>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燃气锅炉操作人员应定期查看天然气表供气压力及供气流量，保证在使用过程中有稳定的燃气供应。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shd w:val="clear" w:color="auto" w:fill="auto"/>
            <w:noWrap w:val="0"/>
            <w:vAlign w:val="center"/>
          </w:tcPr>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4</w:t>
            </w:r>
          </w:p>
        </w:tc>
        <w:tc>
          <w:tcPr>
            <w:tcW w:w="2310" w:type="dxa"/>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锅炉耗气量异常增大。</w:t>
            </w:r>
          </w:p>
        </w:tc>
        <w:tc>
          <w:tcPr>
            <w:tcW w:w="1987" w:type="dxa"/>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锅炉能耗增加。</w:t>
            </w:r>
          </w:p>
        </w:tc>
        <w:tc>
          <w:tcPr>
            <w:tcW w:w="3905" w:type="dxa"/>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检查锅炉水质质量，确保水质化验符合要求。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2" w:hRule="atLeast"/>
        </w:trPr>
        <w:tc>
          <w:tcPr>
            <w:tcW w:w="859" w:type="dxa"/>
            <w:vMerge w:val="restart"/>
            <w:shd w:val="clear" w:color="auto" w:fill="auto"/>
            <w:noWrap w:val="0"/>
            <w:vAlign w:val="center"/>
          </w:tcPr>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5</w:t>
            </w:r>
          </w:p>
        </w:tc>
        <w:tc>
          <w:tcPr>
            <w:tcW w:w="2310" w:type="dxa"/>
            <w:vMerge w:val="restart"/>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天然气泄漏。</w:t>
            </w:r>
          </w:p>
        </w:tc>
        <w:tc>
          <w:tcPr>
            <w:tcW w:w="1987" w:type="dxa"/>
            <w:vMerge w:val="restart"/>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人员中毒、爆炸等。</w:t>
            </w:r>
          </w:p>
        </w:tc>
        <w:tc>
          <w:tcPr>
            <w:tcW w:w="3905" w:type="dxa"/>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确保管路密封并定期检查，若管路泄漏须排除方可继续使用。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trPr>
        <w:tc>
          <w:tcPr>
            <w:tcW w:w="859" w:type="dxa"/>
            <w:vMerge w:val="continue"/>
            <w:shd w:val="clear" w:color="auto" w:fill="auto"/>
            <w:noWrap w:val="0"/>
            <w:vAlign w:val="center"/>
          </w:tcPr>
          <w:p>
            <w:pPr>
              <w:spacing w:line="360" w:lineRule="exact"/>
              <w:jc w:val="center"/>
              <w:rPr>
                <w:rFonts w:ascii="Times New Roman" w:hAnsi="Times New Roman" w:eastAsia="仿宋_GB2312"/>
                <w:sz w:val="28"/>
                <w:szCs w:val="28"/>
              </w:rPr>
            </w:pPr>
          </w:p>
        </w:tc>
        <w:tc>
          <w:tcPr>
            <w:tcW w:w="2310" w:type="dxa"/>
            <w:vMerge w:val="continue"/>
            <w:shd w:val="clear" w:color="auto" w:fill="auto"/>
            <w:noWrap w:val="0"/>
            <w:vAlign w:val="center"/>
          </w:tcPr>
          <w:p>
            <w:pPr>
              <w:spacing w:line="360" w:lineRule="exact"/>
              <w:rPr>
                <w:rFonts w:ascii="Times New Roman" w:hAnsi="Times New Roman" w:eastAsia="仿宋_GB2312"/>
                <w:sz w:val="28"/>
                <w:szCs w:val="28"/>
              </w:rPr>
            </w:pPr>
          </w:p>
        </w:tc>
        <w:tc>
          <w:tcPr>
            <w:tcW w:w="1987" w:type="dxa"/>
            <w:vMerge w:val="continue"/>
            <w:shd w:val="clear" w:color="auto" w:fill="auto"/>
            <w:noWrap w:val="0"/>
            <w:vAlign w:val="center"/>
          </w:tcPr>
          <w:p>
            <w:pPr>
              <w:spacing w:line="360" w:lineRule="exact"/>
              <w:rPr>
                <w:rFonts w:ascii="Times New Roman" w:hAnsi="Times New Roman" w:eastAsia="仿宋_GB2312"/>
                <w:sz w:val="28"/>
                <w:szCs w:val="28"/>
              </w:rPr>
            </w:pPr>
          </w:p>
        </w:tc>
        <w:tc>
          <w:tcPr>
            <w:tcW w:w="3905" w:type="dxa"/>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工作现场通风良好，配置永久性的通风孔和强制通风装置，要求工作现场禁止烟火、电气件防爆。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trPr>
        <w:tc>
          <w:tcPr>
            <w:tcW w:w="859" w:type="dxa"/>
            <w:vMerge w:val="continue"/>
            <w:shd w:val="clear" w:color="auto" w:fill="auto"/>
            <w:noWrap w:val="0"/>
            <w:vAlign w:val="center"/>
          </w:tcPr>
          <w:p>
            <w:pPr>
              <w:spacing w:line="360" w:lineRule="exact"/>
              <w:jc w:val="center"/>
              <w:rPr>
                <w:rFonts w:ascii="Times New Roman" w:hAnsi="Times New Roman" w:eastAsia="仿宋_GB2312"/>
                <w:sz w:val="28"/>
                <w:szCs w:val="28"/>
              </w:rPr>
            </w:pPr>
          </w:p>
        </w:tc>
        <w:tc>
          <w:tcPr>
            <w:tcW w:w="2310" w:type="dxa"/>
            <w:vMerge w:val="continue"/>
            <w:shd w:val="clear" w:color="auto" w:fill="auto"/>
            <w:noWrap w:val="0"/>
            <w:vAlign w:val="center"/>
          </w:tcPr>
          <w:p>
            <w:pPr>
              <w:spacing w:line="360" w:lineRule="exact"/>
              <w:rPr>
                <w:rFonts w:ascii="Times New Roman" w:hAnsi="Times New Roman" w:eastAsia="仿宋_GB2312"/>
                <w:sz w:val="28"/>
                <w:szCs w:val="28"/>
              </w:rPr>
            </w:pPr>
          </w:p>
        </w:tc>
        <w:tc>
          <w:tcPr>
            <w:tcW w:w="1987" w:type="dxa"/>
            <w:vMerge w:val="continue"/>
            <w:shd w:val="clear" w:color="auto" w:fill="auto"/>
            <w:noWrap w:val="0"/>
            <w:vAlign w:val="center"/>
          </w:tcPr>
          <w:p>
            <w:pPr>
              <w:spacing w:line="360" w:lineRule="exact"/>
              <w:rPr>
                <w:rFonts w:ascii="Times New Roman" w:hAnsi="Times New Roman" w:eastAsia="仿宋_GB2312"/>
                <w:sz w:val="28"/>
                <w:szCs w:val="28"/>
              </w:rPr>
            </w:pPr>
          </w:p>
        </w:tc>
        <w:tc>
          <w:tcPr>
            <w:tcW w:w="3905" w:type="dxa"/>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锅炉房内应装有相应燃气泄漏报警并定期检查泄漏报警系统是否有效。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shd w:val="clear" w:color="auto" w:fill="auto"/>
            <w:noWrap w:val="0"/>
            <w:vAlign w:val="center"/>
          </w:tcPr>
          <w:p>
            <w:pPr>
              <w:spacing w:line="360" w:lineRule="exact"/>
              <w:jc w:val="center"/>
              <w:rPr>
                <w:rFonts w:ascii="Times New Roman" w:hAnsi="Times New Roman" w:eastAsia="仿宋_GB2312"/>
                <w:sz w:val="28"/>
                <w:szCs w:val="28"/>
              </w:rPr>
            </w:pPr>
          </w:p>
        </w:tc>
        <w:tc>
          <w:tcPr>
            <w:tcW w:w="2310" w:type="dxa"/>
            <w:vMerge w:val="continue"/>
            <w:shd w:val="clear" w:color="auto" w:fill="auto"/>
            <w:noWrap w:val="0"/>
            <w:vAlign w:val="center"/>
          </w:tcPr>
          <w:p>
            <w:pPr>
              <w:spacing w:line="360" w:lineRule="exact"/>
              <w:rPr>
                <w:rFonts w:ascii="Times New Roman" w:hAnsi="Times New Roman" w:eastAsia="仿宋_GB2312"/>
                <w:sz w:val="28"/>
                <w:szCs w:val="28"/>
              </w:rPr>
            </w:pPr>
          </w:p>
        </w:tc>
        <w:tc>
          <w:tcPr>
            <w:tcW w:w="1987" w:type="dxa"/>
            <w:vMerge w:val="continue"/>
            <w:shd w:val="clear" w:color="auto" w:fill="auto"/>
            <w:noWrap w:val="0"/>
            <w:vAlign w:val="center"/>
          </w:tcPr>
          <w:p>
            <w:pPr>
              <w:spacing w:line="360" w:lineRule="exact"/>
              <w:rPr>
                <w:rFonts w:ascii="Times New Roman" w:hAnsi="Times New Roman" w:eastAsia="仿宋_GB2312"/>
                <w:sz w:val="28"/>
                <w:szCs w:val="28"/>
              </w:rPr>
            </w:pPr>
          </w:p>
        </w:tc>
        <w:tc>
          <w:tcPr>
            <w:tcW w:w="3905" w:type="dxa"/>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对锅炉上不参与阀组检漏的点火电磁阀定期进行泄漏检测。</w:t>
            </w:r>
          </w:p>
        </w:tc>
      </w:tr>
    </w:tbl>
    <w:p>
      <w:pPr>
        <w:spacing w:line="560" w:lineRule="exact"/>
        <w:ind w:firstLine="640" w:firstLineChars="200"/>
        <w:rPr>
          <w:rFonts w:ascii="Times New Roman" w:hAnsi="Times New Roman" w:eastAsia="楷体"/>
          <w:sz w:val="32"/>
          <w:szCs w:val="32"/>
        </w:rPr>
      </w:pPr>
    </w:p>
    <w:p>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（二）燃气燃烧器风险防范措施</w:t>
      </w:r>
    </w:p>
    <w:p>
      <w:pPr>
        <w:spacing w:line="560" w:lineRule="exact"/>
        <w:jc w:val="center"/>
        <w:rPr>
          <w:rFonts w:ascii="Times New Roman" w:hAnsi="Times New Roman" w:eastAsia="仿宋_GB2312"/>
          <w:sz w:val="32"/>
          <w:szCs w:val="32"/>
        </w:rPr>
      </w:pPr>
      <w:r>
        <w:rPr>
          <w:rFonts w:ascii="Times New Roman" w:hAnsi="Times New Roman" w:eastAsia="仿宋_GB2312"/>
          <w:sz w:val="32"/>
          <w:szCs w:val="32"/>
        </w:rPr>
        <w:t>表2：燃气燃烧器风险点及防范措施</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9"/>
        <w:gridCol w:w="2310"/>
        <w:gridCol w:w="1830"/>
        <w:gridCol w:w="4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shd w:val="clear" w:color="auto" w:fill="auto"/>
            <w:noWrap w:val="0"/>
            <w:vAlign w:val="center"/>
          </w:tcPr>
          <w:p>
            <w:pPr>
              <w:spacing w:line="420" w:lineRule="exact"/>
              <w:jc w:val="center"/>
              <w:rPr>
                <w:rFonts w:ascii="Times New Roman" w:hAnsi="Times New Roman" w:eastAsia="仿宋_GB2312"/>
                <w:b/>
                <w:bCs/>
                <w:sz w:val="32"/>
                <w:szCs w:val="32"/>
              </w:rPr>
            </w:pPr>
            <w:r>
              <w:rPr>
                <w:rFonts w:ascii="Times New Roman" w:hAnsi="Times New Roman" w:eastAsia="仿宋_GB2312"/>
                <w:b/>
                <w:bCs/>
                <w:sz w:val="32"/>
                <w:szCs w:val="32"/>
              </w:rPr>
              <w:t>序号</w:t>
            </w:r>
          </w:p>
        </w:tc>
        <w:tc>
          <w:tcPr>
            <w:tcW w:w="2310" w:type="dxa"/>
            <w:shd w:val="clear" w:color="auto" w:fill="auto"/>
            <w:noWrap w:val="0"/>
            <w:vAlign w:val="center"/>
          </w:tcPr>
          <w:p>
            <w:pPr>
              <w:spacing w:line="420" w:lineRule="exact"/>
              <w:jc w:val="center"/>
              <w:rPr>
                <w:rFonts w:ascii="Times New Roman" w:hAnsi="Times New Roman" w:eastAsia="仿宋_GB2312"/>
                <w:b/>
                <w:bCs/>
                <w:sz w:val="32"/>
                <w:szCs w:val="32"/>
              </w:rPr>
            </w:pPr>
            <w:r>
              <w:rPr>
                <w:rFonts w:ascii="Times New Roman" w:hAnsi="Times New Roman" w:eastAsia="仿宋_GB2312"/>
                <w:b/>
                <w:bCs/>
                <w:sz w:val="32"/>
                <w:szCs w:val="32"/>
              </w:rPr>
              <w:t>风险点</w:t>
            </w:r>
          </w:p>
        </w:tc>
        <w:tc>
          <w:tcPr>
            <w:tcW w:w="1830" w:type="dxa"/>
            <w:shd w:val="clear" w:color="auto" w:fill="auto"/>
            <w:noWrap w:val="0"/>
            <w:vAlign w:val="center"/>
          </w:tcPr>
          <w:p>
            <w:pPr>
              <w:spacing w:line="420" w:lineRule="exact"/>
              <w:jc w:val="center"/>
              <w:rPr>
                <w:rFonts w:ascii="Times New Roman" w:hAnsi="Times New Roman" w:eastAsia="仿宋_GB2312"/>
                <w:b/>
                <w:bCs/>
                <w:sz w:val="32"/>
                <w:szCs w:val="32"/>
              </w:rPr>
            </w:pPr>
            <w:r>
              <w:rPr>
                <w:rFonts w:ascii="Times New Roman" w:hAnsi="Times New Roman" w:eastAsia="仿宋_GB2312"/>
                <w:b/>
                <w:bCs/>
                <w:sz w:val="32"/>
                <w:szCs w:val="32"/>
              </w:rPr>
              <w:t>不良后果</w:t>
            </w:r>
          </w:p>
        </w:tc>
        <w:tc>
          <w:tcPr>
            <w:tcW w:w="4062" w:type="dxa"/>
            <w:shd w:val="clear" w:color="auto" w:fill="auto"/>
            <w:noWrap w:val="0"/>
            <w:vAlign w:val="center"/>
          </w:tcPr>
          <w:p>
            <w:pPr>
              <w:spacing w:line="420" w:lineRule="exact"/>
              <w:jc w:val="center"/>
              <w:rPr>
                <w:rFonts w:ascii="Times New Roman" w:hAnsi="Times New Roman" w:eastAsia="仿宋_GB2312"/>
                <w:b/>
                <w:bCs/>
                <w:sz w:val="32"/>
                <w:szCs w:val="32"/>
              </w:rPr>
            </w:pPr>
            <w:r>
              <w:rPr>
                <w:rFonts w:ascii="Times New Roman" w:hAnsi="Times New Roman" w:eastAsia="仿宋_GB2312"/>
                <w:b/>
                <w:bCs/>
                <w:sz w:val="32"/>
                <w:szCs w:val="32"/>
              </w:rPr>
              <w:t>防范措施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shd w:val="clear" w:color="auto" w:fill="auto"/>
            <w:noWrap w:val="0"/>
            <w:vAlign w:val="center"/>
          </w:tcPr>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1</w:t>
            </w:r>
          </w:p>
        </w:tc>
        <w:tc>
          <w:tcPr>
            <w:tcW w:w="2310" w:type="dxa"/>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采用烟气再循环技术燃烧器，出现燃烧器火焰监测器受到污染致使燃烧器运行不稳定。</w:t>
            </w:r>
          </w:p>
        </w:tc>
        <w:tc>
          <w:tcPr>
            <w:tcW w:w="1830" w:type="dxa"/>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锅炉出现非正常熄火现象。</w:t>
            </w:r>
          </w:p>
        </w:tc>
        <w:tc>
          <w:tcPr>
            <w:tcW w:w="4062" w:type="dxa"/>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加大燃烧器状况检查频次，及时清理或更换受到污染火焰监测器。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8" w:hRule="atLeast"/>
        </w:trPr>
        <w:tc>
          <w:tcPr>
            <w:tcW w:w="859" w:type="dxa"/>
            <w:vMerge w:val="restart"/>
            <w:shd w:val="clear" w:color="auto" w:fill="auto"/>
            <w:noWrap w:val="0"/>
            <w:vAlign w:val="center"/>
          </w:tcPr>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2</w:t>
            </w:r>
          </w:p>
        </w:tc>
        <w:tc>
          <w:tcPr>
            <w:tcW w:w="2310" w:type="dxa"/>
            <w:vMerge w:val="restart"/>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采用烟气再循环技术燃烧器，再循环的烟气量过大，与锅炉不匹配。</w:t>
            </w:r>
          </w:p>
        </w:tc>
        <w:tc>
          <w:tcPr>
            <w:tcW w:w="1830" w:type="dxa"/>
            <w:vMerge w:val="restart"/>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燃烧器风机出现喘震、燃烧不稳定，锅炉及烟道振动增大，炉膛防爆门动作和异响。</w:t>
            </w:r>
          </w:p>
        </w:tc>
        <w:tc>
          <w:tcPr>
            <w:tcW w:w="4062" w:type="dxa"/>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需要降低锅炉负荷及再循环的烟气量（首先减少烟气再循环量，若还有震动，可减小负荷），避开燃烧不稳定区域，消除风机喘震导致的锅炉共振。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 w:hRule="atLeast"/>
        </w:trPr>
        <w:tc>
          <w:tcPr>
            <w:tcW w:w="859" w:type="dxa"/>
            <w:vMerge w:val="continue"/>
            <w:shd w:val="clear" w:color="auto" w:fill="auto"/>
            <w:noWrap w:val="0"/>
            <w:vAlign w:val="center"/>
          </w:tcPr>
          <w:p>
            <w:pPr>
              <w:spacing w:line="360" w:lineRule="exact"/>
              <w:jc w:val="center"/>
              <w:rPr>
                <w:rFonts w:ascii="Times New Roman" w:hAnsi="Times New Roman" w:eastAsia="仿宋_GB2312"/>
                <w:sz w:val="28"/>
                <w:szCs w:val="28"/>
              </w:rPr>
            </w:pPr>
          </w:p>
        </w:tc>
        <w:tc>
          <w:tcPr>
            <w:tcW w:w="2310" w:type="dxa"/>
            <w:vMerge w:val="continue"/>
            <w:shd w:val="clear" w:color="auto" w:fill="auto"/>
            <w:noWrap w:val="0"/>
            <w:vAlign w:val="center"/>
          </w:tcPr>
          <w:p>
            <w:pPr>
              <w:spacing w:line="360" w:lineRule="exact"/>
              <w:rPr>
                <w:rFonts w:ascii="Times New Roman" w:hAnsi="Times New Roman" w:eastAsia="仿宋_GB2312"/>
                <w:sz w:val="28"/>
                <w:szCs w:val="28"/>
              </w:rPr>
            </w:pPr>
          </w:p>
        </w:tc>
        <w:tc>
          <w:tcPr>
            <w:tcW w:w="1830" w:type="dxa"/>
            <w:vMerge w:val="continue"/>
            <w:shd w:val="clear" w:color="auto" w:fill="auto"/>
            <w:noWrap w:val="0"/>
            <w:vAlign w:val="center"/>
          </w:tcPr>
          <w:p>
            <w:pPr>
              <w:spacing w:line="360" w:lineRule="exact"/>
              <w:rPr>
                <w:rFonts w:ascii="Times New Roman" w:hAnsi="Times New Roman" w:eastAsia="仿宋_GB2312"/>
                <w:sz w:val="28"/>
                <w:szCs w:val="28"/>
              </w:rPr>
            </w:pPr>
          </w:p>
        </w:tc>
        <w:tc>
          <w:tcPr>
            <w:tcW w:w="4062" w:type="dxa"/>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防爆门的设计要适应烟气再循环的循环风量，消除异响。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859" w:type="dxa"/>
            <w:vMerge w:val="restart"/>
            <w:shd w:val="clear" w:color="auto" w:fill="auto"/>
            <w:noWrap w:val="0"/>
            <w:vAlign w:val="center"/>
          </w:tcPr>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3</w:t>
            </w:r>
          </w:p>
        </w:tc>
        <w:tc>
          <w:tcPr>
            <w:tcW w:w="2310" w:type="dxa"/>
            <w:vMerge w:val="restart"/>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采用烟气再循环技术燃烧器，冷凝水过多或者倒流进设备。</w:t>
            </w:r>
          </w:p>
        </w:tc>
        <w:tc>
          <w:tcPr>
            <w:tcW w:w="1830" w:type="dxa"/>
            <w:vMerge w:val="restart"/>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烟气冷凝水增多会腐蚀锅炉尾部受热面及</w:t>
            </w:r>
            <w:bookmarkStart w:id="0" w:name="_GoBack"/>
            <w:bookmarkEnd w:id="0"/>
            <w:r>
              <w:rPr>
                <w:rFonts w:ascii="Times New Roman" w:hAnsi="Times New Roman" w:eastAsia="仿宋_GB2312"/>
                <w:sz w:val="28"/>
                <w:szCs w:val="28"/>
              </w:rPr>
              <w:t>烟道造成泄漏，造成设备故障影响正常运行。</w:t>
            </w:r>
          </w:p>
        </w:tc>
        <w:tc>
          <w:tcPr>
            <w:tcW w:w="4062" w:type="dxa"/>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在合理的位置加装疏水管路或选用优质不锈钢材质管道。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9" w:hRule="atLeast"/>
        </w:trPr>
        <w:tc>
          <w:tcPr>
            <w:tcW w:w="859" w:type="dxa"/>
            <w:vMerge w:val="continue"/>
            <w:shd w:val="clear" w:color="auto" w:fill="auto"/>
            <w:noWrap w:val="0"/>
            <w:vAlign w:val="center"/>
          </w:tcPr>
          <w:p>
            <w:pPr>
              <w:spacing w:line="360" w:lineRule="exact"/>
              <w:jc w:val="center"/>
              <w:rPr>
                <w:rFonts w:ascii="Times New Roman" w:hAnsi="Times New Roman" w:eastAsia="仿宋_GB2312"/>
                <w:sz w:val="28"/>
                <w:szCs w:val="28"/>
              </w:rPr>
            </w:pPr>
          </w:p>
        </w:tc>
        <w:tc>
          <w:tcPr>
            <w:tcW w:w="2310" w:type="dxa"/>
            <w:vMerge w:val="continue"/>
            <w:shd w:val="clear" w:color="auto" w:fill="auto"/>
            <w:noWrap w:val="0"/>
            <w:vAlign w:val="center"/>
          </w:tcPr>
          <w:p>
            <w:pPr>
              <w:spacing w:line="360" w:lineRule="exact"/>
              <w:rPr>
                <w:rFonts w:ascii="Times New Roman" w:hAnsi="Times New Roman" w:eastAsia="仿宋_GB2312"/>
                <w:sz w:val="28"/>
                <w:szCs w:val="28"/>
              </w:rPr>
            </w:pPr>
          </w:p>
        </w:tc>
        <w:tc>
          <w:tcPr>
            <w:tcW w:w="1830" w:type="dxa"/>
            <w:vMerge w:val="continue"/>
            <w:shd w:val="clear" w:color="auto" w:fill="auto"/>
            <w:noWrap w:val="0"/>
            <w:vAlign w:val="center"/>
          </w:tcPr>
          <w:p>
            <w:pPr>
              <w:spacing w:line="360" w:lineRule="exact"/>
              <w:rPr>
                <w:rFonts w:ascii="Times New Roman" w:hAnsi="Times New Roman" w:eastAsia="仿宋_GB2312"/>
                <w:sz w:val="28"/>
                <w:szCs w:val="28"/>
              </w:rPr>
            </w:pPr>
          </w:p>
        </w:tc>
        <w:tc>
          <w:tcPr>
            <w:tcW w:w="4062" w:type="dxa"/>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再循环烟气抽取点烟温过低使冷凝水进入燃烧器造成故障，可以选择合理的再循环烟气抽取点，或者将再循环管路中的烟气加热到130℃后进入燃烧器（适宜的再循环烟气温度应不低于130℃）。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7" w:hRule="atLeast"/>
        </w:trPr>
        <w:tc>
          <w:tcPr>
            <w:tcW w:w="859" w:type="dxa"/>
            <w:vMerge w:val="continue"/>
            <w:shd w:val="clear" w:color="auto" w:fill="auto"/>
            <w:noWrap w:val="0"/>
            <w:vAlign w:val="center"/>
          </w:tcPr>
          <w:p>
            <w:pPr>
              <w:spacing w:line="360" w:lineRule="exact"/>
              <w:jc w:val="center"/>
              <w:rPr>
                <w:rFonts w:ascii="Times New Roman" w:hAnsi="Times New Roman" w:eastAsia="仿宋_GB2312"/>
                <w:sz w:val="28"/>
                <w:szCs w:val="28"/>
              </w:rPr>
            </w:pPr>
          </w:p>
        </w:tc>
        <w:tc>
          <w:tcPr>
            <w:tcW w:w="2310" w:type="dxa"/>
            <w:vMerge w:val="continue"/>
            <w:shd w:val="clear" w:color="auto" w:fill="auto"/>
            <w:noWrap w:val="0"/>
            <w:vAlign w:val="center"/>
          </w:tcPr>
          <w:p>
            <w:pPr>
              <w:spacing w:line="360" w:lineRule="exact"/>
              <w:rPr>
                <w:rFonts w:ascii="Times New Roman" w:hAnsi="Times New Roman" w:eastAsia="仿宋_GB2312"/>
                <w:sz w:val="28"/>
                <w:szCs w:val="28"/>
              </w:rPr>
            </w:pPr>
          </w:p>
        </w:tc>
        <w:tc>
          <w:tcPr>
            <w:tcW w:w="1830" w:type="dxa"/>
            <w:vMerge w:val="continue"/>
            <w:shd w:val="clear" w:color="auto" w:fill="auto"/>
            <w:noWrap w:val="0"/>
            <w:vAlign w:val="center"/>
          </w:tcPr>
          <w:p>
            <w:pPr>
              <w:spacing w:line="360" w:lineRule="exact"/>
              <w:rPr>
                <w:rFonts w:ascii="Times New Roman" w:hAnsi="Times New Roman" w:eastAsia="仿宋_GB2312"/>
                <w:sz w:val="28"/>
                <w:szCs w:val="28"/>
              </w:rPr>
            </w:pPr>
          </w:p>
        </w:tc>
        <w:tc>
          <w:tcPr>
            <w:tcW w:w="4062" w:type="dxa"/>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对于采用分体式燃烧器的燃气锅炉，如进入燃烧器的混合气体温度过低，可加装空气预热器。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9" w:hRule="atLeast"/>
        </w:trPr>
        <w:tc>
          <w:tcPr>
            <w:tcW w:w="859" w:type="dxa"/>
            <w:shd w:val="clear" w:color="auto" w:fill="auto"/>
            <w:noWrap w:val="0"/>
            <w:vAlign w:val="center"/>
          </w:tcPr>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4</w:t>
            </w:r>
          </w:p>
        </w:tc>
        <w:tc>
          <w:tcPr>
            <w:tcW w:w="2310" w:type="dxa"/>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采用表面燃烧技术燃烧器，点火时出现爆响以及燃烧不稳定。</w:t>
            </w:r>
          </w:p>
        </w:tc>
        <w:tc>
          <w:tcPr>
            <w:tcW w:w="1830" w:type="dxa"/>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燃烧不稳定、异常脱火。</w:t>
            </w:r>
          </w:p>
        </w:tc>
        <w:tc>
          <w:tcPr>
            <w:tcW w:w="4062" w:type="dxa"/>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点火时应控制点火热功率，保证稳定点火，定期吹扫金属纤维表面，至少半年一次。金属纤维不应有任何损坏。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restart"/>
            <w:shd w:val="clear" w:color="auto" w:fill="auto"/>
            <w:noWrap w:val="0"/>
            <w:vAlign w:val="center"/>
          </w:tcPr>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5</w:t>
            </w:r>
          </w:p>
        </w:tc>
        <w:tc>
          <w:tcPr>
            <w:tcW w:w="2310" w:type="dxa"/>
            <w:vMerge w:val="restart"/>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采用表面燃烧技术燃烧器，金属纤维网堵塞.</w:t>
            </w:r>
          </w:p>
        </w:tc>
        <w:tc>
          <w:tcPr>
            <w:tcW w:w="1830" w:type="dxa"/>
            <w:vMerge w:val="restart"/>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造成金属纤维表面局部高温发生损坏，出现回火现象。</w:t>
            </w:r>
          </w:p>
        </w:tc>
        <w:tc>
          <w:tcPr>
            <w:tcW w:w="4062" w:type="dxa"/>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定期检测烟气成分，保持烟气氧含量6.5%左右（对应保持足够的过量空气系数1.5左右）。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shd w:val="clear" w:color="auto" w:fill="auto"/>
            <w:noWrap w:val="0"/>
            <w:vAlign w:val="center"/>
          </w:tcPr>
          <w:p>
            <w:pPr>
              <w:spacing w:line="360" w:lineRule="exact"/>
              <w:jc w:val="center"/>
              <w:rPr>
                <w:rFonts w:ascii="Times New Roman" w:hAnsi="Times New Roman" w:eastAsia="仿宋_GB2312"/>
                <w:sz w:val="28"/>
                <w:szCs w:val="28"/>
              </w:rPr>
            </w:pPr>
          </w:p>
        </w:tc>
        <w:tc>
          <w:tcPr>
            <w:tcW w:w="2310" w:type="dxa"/>
            <w:vMerge w:val="continue"/>
            <w:shd w:val="clear" w:color="auto" w:fill="auto"/>
            <w:noWrap w:val="0"/>
            <w:vAlign w:val="center"/>
          </w:tcPr>
          <w:p>
            <w:pPr>
              <w:spacing w:line="360" w:lineRule="exact"/>
              <w:rPr>
                <w:rFonts w:ascii="Times New Roman" w:hAnsi="Times New Roman" w:eastAsia="仿宋_GB2312"/>
                <w:sz w:val="28"/>
                <w:szCs w:val="28"/>
              </w:rPr>
            </w:pPr>
          </w:p>
        </w:tc>
        <w:tc>
          <w:tcPr>
            <w:tcW w:w="1830" w:type="dxa"/>
            <w:vMerge w:val="continue"/>
            <w:shd w:val="clear" w:color="auto" w:fill="auto"/>
            <w:noWrap w:val="0"/>
            <w:vAlign w:val="center"/>
          </w:tcPr>
          <w:p>
            <w:pPr>
              <w:spacing w:line="360" w:lineRule="exact"/>
              <w:rPr>
                <w:rFonts w:ascii="Times New Roman" w:hAnsi="Times New Roman" w:eastAsia="仿宋_GB2312"/>
                <w:sz w:val="28"/>
                <w:szCs w:val="28"/>
              </w:rPr>
            </w:pPr>
          </w:p>
        </w:tc>
        <w:tc>
          <w:tcPr>
            <w:tcW w:w="4062" w:type="dxa"/>
            <w:shd w:val="clear" w:color="auto" w:fill="auto"/>
            <w:noWrap w:val="0"/>
            <w:vAlign w:val="center"/>
          </w:tcPr>
          <w:p>
            <w:pPr>
              <w:spacing w:line="360" w:lineRule="exact"/>
              <w:rPr>
                <w:rFonts w:ascii="Times New Roman" w:hAnsi="Times New Roman" w:eastAsia="仿宋_GB2312"/>
                <w:sz w:val="28"/>
                <w:szCs w:val="28"/>
              </w:rPr>
            </w:pPr>
            <w:r>
              <w:rPr>
                <w:rFonts w:ascii="Times New Roman" w:hAnsi="Times New Roman" w:eastAsia="仿宋_GB2312"/>
                <w:sz w:val="28"/>
                <w:szCs w:val="28"/>
              </w:rPr>
              <w:t>增大空气过滤网的清理频次。</w:t>
            </w:r>
          </w:p>
        </w:tc>
      </w:tr>
    </w:tbl>
    <w:p>
      <w:pPr>
        <w:spacing w:line="560" w:lineRule="exact"/>
        <w:rPr>
          <w:rFonts w:hint="eastAsia" w:ascii="方正仿宋_GB2312" w:hAnsi="方正仿宋_GB2312" w:eastAsia="方正仿宋_GB2312" w:cs="方正仿宋_GB2312"/>
          <w:sz w:val="32"/>
          <w:szCs w:val="32"/>
        </w:rPr>
      </w:pPr>
    </w:p>
    <w:p>
      <w:pPr>
        <w:spacing w:line="560" w:lineRule="exact"/>
        <w:rPr>
          <w:rFonts w:hint="eastAsia" w:ascii="方正仿宋_GB2312" w:hAnsi="方正仿宋_GB2312" w:eastAsia="方正仿宋_GB2312" w:cs="方正仿宋_GB2312"/>
          <w:sz w:val="32"/>
          <w:szCs w:val="32"/>
        </w:rPr>
      </w:pPr>
    </w:p>
    <w:p>
      <w:pPr>
        <w:spacing w:line="560" w:lineRule="exact"/>
        <w:rPr>
          <w:rFonts w:hint="eastAsia" w:ascii="方正仿宋_GB2312" w:hAnsi="方正仿宋_GB2312" w:eastAsia="方正仿宋_GB2312" w:cs="方正仿宋_GB2312"/>
          <w:sz w:val="32"/>
          <w:szCs w:val="32"/>
        </w:rPr>
      </w:pPr>
    </w:p>
    <w:p>
      <w:pPr>
        <w:spacing w:line="560" w:lineRule="exact"/>
        <w:rPr>
          <w:rFonts w:hint="eastAsia" w:ascii="方正仿宋_GB2312" w:hAnsi="方正仿宋_GB2312" w:eastAsia="方正仿宋_GB2312" w:cs="方正仿宋_GB2312"/>
          <w:sz w:val="32"/>
          <w:szCs w:val="32"/>
        </w:rPr>
      </w:pPr>
    </w:p>
    <w:p>
      <w:pPr>
        <w:spacing w:line="560" w:lineRule="exact"/>
        <w:rPr>
          <w:rFonts w:hint="eastAsia" w:ascii="方正仿宋_GB2312" w:hAnsi="方正仿宋_GB2312" w:eastAsia="方正仿宋_GB2312" w:cs="方正仿宋_GB2312"/>
          <w:sz w:val="32"/>
          <w:szCs w:val="32"/>
        </w:rPr>
      </w:pPr>
    </w:p>
    <w:p>
      <w:pPr>
        <w:spacing w:line="560" w:lineRule="exact"/>
        <w:rPr>
          <w:rFonts w:hint="eastAsia" w:ascii="方正仿宋_GB2312" w:hAnsi="方正仿宋_GB2312" w:eastAsia="方正仿宋_GB2312" w:cs="方正仿宋_GB2312"/>
          <w:sz w:val="32"/>
          <w:szCs w:val="32"/>
        </w:rPr>
      </w:pPr>
    </w:p>
    <w:p>
      <w:pPr>
        <w:spacing w:line="560" w:lineRule="exact"/>
        <w:rPr>
          <w:rFonts w:hint="eastAsia" w:ascii="方正仿宋_GB2312" w:hAnsi="方正仿宋_GB2312" w:eastAsia="方正仿宋_GB2312" w:cs="方正仿宋_GB2312"/>
          <w:sz w:val="32"/>
          <w:szCs w:val="32"/>
        </w:rPr>
      </w:pPr>
    </w:p>
    <w:p>
      <w:pPr>
        <w:spacing w:line="560" w:lineRule="exact"/>
        <w:rPr>
          <w:rFonts w:hint="eastAsia" w:ascii="方正仿宋_GB2312" w:hAnsi="方正仿宋_GB2312" w:eastAsia="方正仿宋_GB2312" w:cs="方正仿宋_GB2312"/>
          <w:sz w:val="32"/>
          <w:szCs w:val="32"/>
        </w:rPr>
      </w:pPr>
    </w:p>
    <w:p>
      <w:pPr>
        <w:spacing w:line="560" w:lineRule="exact"/>
        <w:rPr>
          <w:rFonts w:hint="eastAsia" w:ascii="方正仿宋_GB2312" w:hAnsi="方正仿宋_GB2312" w:eastAsia="方正仿宋_GB2312" w:cs="方正仿宋_GB2312"/>
          <w:sz w:val="32"/>
          <w:szCs w:val="32"/>
        </w:rPr>
        <w:sectPr>
          <w:pgSz w:w="11906" w:h="16838"/>
          <w:pgMar w:top="2098" w:right="1474" w:bottom="1984" w:left="1587" w:header="851" w:footer="992" w:gutter="0"/>
          <w:cols w:space="720" w:num="1"/>
          <w:docGrid w:type="lines" w:linePitch="315" w:charSpace="0"/>
        </w:sectPr>
      </w:pPr>
    </w:p>
    <w:p>
      <w:pPr>
        <w:spacing w:line="560" w:lineRule="exac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附表</w:t>
      </w:r>
    </w:p>
    <w:p>
      <w:pPr>
        <w:jc w:val="center"/>
        <w:rPr>
          <w:rFonts w:hint="eastAsia"/>
          <w:sz w:val="36"/>
          <w:szCs w:val="36"/>
        </w:rPr>
      </w:pPr>
    </w:p>
    <w:p>
      <w:pPr>
        <w:jc w:val="center"/>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燃烧器检查记录（参考模板）</w:t>
      </w:r>
    </w:p>
    <w:tbl>
      <w:tblPr>
        <w:tblStyle w:val="3"/>
        <w:tblW w:w="141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988"/>
        <w:gridCol w:w="1134"/>
        <w:gridCol w:w="2551"/>
        <w:gridCol w:w="1354"/>
        <w:gridCol w:w="631"/>
        <w:gridCol w:w="567"/>
        <w:gridCol w:w="1512"/>
        <w:gridCol w:w="24"/>
        <w:gridCol w:w="3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8" w:type="dxa"/>
            <w:gridSpan w:val="2"/>
            <w:shd w:val="clear" w:color="auto" w:fill="auto"/>
            <w:noWrap w:val="0"/>
            <w:vAlign w:val="center"/>
          </w:tcPr>
          <w:p>
            <w:pPr>
              <w:jc w:val="center"/>
              <w:rPr>
                <w:rFonts w:ascii="Times New Roman" w:hAnsi="Times New Roman" w:eastAsia="仿宋_GB2312"/>
                <w:kern w:val="0"/>
                <w:sz w:val="28"/>
                <w:szCs w:val="28"/>
              </w:rPr>
            </w:pPr>
            <w:r>
              <w:rPr>
                <w:rFonts w:hint="eastAsia" w:ascii="Times New Roman" w:eastAsia="仿宋_GB2312"/>
                <w:kern w:val="0"/>
                <w:sz w:val="28"/>
                <w:szCs w:val="28"/>
              </w:rPr>
              <w:t>锅炉使用单位</w:t>
            </w:r>
          </w:p>
        </w:tc>
        <w:tc>
          <w:tcPr>
            <w:tcW w:w="3685" w:type="dxa"/>
            <w:gridSpan w:val="2"/>
            <w:shd w:val="clear" w:color="auto" w:fill="auto"/>
            <w:noWrap w:val="0"/>
            <w:vAlign w:val="top"/>
          </w:tcPr>
          <w:p>
            <w:pPr>
              <w:spacing w:line="360" w:lineRule="auto"/>
              <w:jc w:val="center"/>
              <w:rPr>
                <w:rFonts w:ascii="Times New Roman" w:hAnsi="Times New Roman"/>
                <w:kern w:val="0"/>
                <w:sz w:val="28"/>
                <w:szCs w:val="28"/>
              </w:rPr>
            </w:pPr>
          </w:p>
        </w:tc>
        <w:tc>
          <w:tcPr>
            <w:tcW w:w="2552" w:type="dxa"/>
            <w:gridSpan w:val="3"/>
            <w:shd w:val="clear" w:color="auto" w:fill="auto"/>
            <w:noWrap w:val="0"/>
            <w:vAlign w:val="top"/>
          </w:tcPr>
          <w:p>
            <w:pPr>
              <w:spacing w:line="360" w:lineRule="auto"/>
              <w:jc w:val="center"/>
              <w:rPr>
                <w:rFonts w:ascii="Times New Roman" w:hAnsi="Times New Roman"/>
                <w:kern w:val="0"/>
                <w:sz w:val="28"/>
                <w:szCs w:val="28"/>
              </w:rPr>
            </w:pPr>
            <w:r>
              <w:rPr>
                <w:rFonts w:ascii="Times New Roman" w:eastAsia="仿宋_GB2312"/>
                <w:kern w:val="0"/>
                <w:sz w:val="28"/>
                <w:szCs w:val="28"/>
              </w:rPr>
              <w:t>锅炉型号</w:t>
            </w:r>
          </w:p>
        </w:tc>
        <w:tc>
          <w:tcPr>
            <w:tcW w:w="5101" w:type="dxa"/>
            <w:gridSpan w:val="3"/>
            <w:shd w:val="clear" w:color="auto" w:fill="auto"/>
            <w:noWrap w:val="0"/>
            <w:vAlign w:val="top"/>
          </w:tcPr>
          <w:p>
            <w:pPr>
              <w:spacing w:line="360" w:lineRule="auto"/>
              <w:jc w:val="center"/>
              <w:rPr>
                <w:rFonts w:ascii="Times New Roman" w:hAnsi="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8" w:type="dxa"/>
            <w:gridSpan w:val="2"/>
            <w:shd w:val="clear" w:color="auto" w:fill="auto"/>
            <w:noWrap w:val="0"/>
            <w:vAlign w:val="center"/>
          </w:tcPr>
          <w:p>
            <w:pPr>
              <w:jc w:val="center"/>
              <w:rPr>
                <w:rFonts w:ascii="Times New Roman" w:hAnsi="Times New Roman"/>
                <w:kern w:val="0"/>
                <w:sz w:val="28"/>
                <w:szCs w:val="28"/>
              </w:rPr>
            </w:pPr>
            <w:r>
              <w:rPr>
                <w:rFonts w:hint="eastAsia" w:ascii="Times New Roman" w:hAnsi="Times New Roman" w:eastAsia="仿宋_GB2312"/>
                <w:spacing w:val="6"/>
                <w:kern w:val="0"/>
                <w:sz w:val="28"/>
                <w:szCs w:val="28"/>
              </w:rPr>
              <w:t>使用登记证编号</w:t>
            </w:r>
          </w:p>
        </w:tc>
        <w:tc>
          <w:tcPr>
            <w:tcW w:w="3685" w:type="dxa"/>
            <w:gridSpan w:val="2"/>
            <w:tcBorders>
              <w:bottom w:val="single" w:color="auto" w:sz="4" w:space="0"/>
            </w:tcBorders>
            <w:shd w:val="clear" w:color="auto" w:fill="auto"/>
            <w:noWrap w:val="0"/>
            <w:vAlign w:val="center"/>
          </w:tcPr>
          <w:p>
            <w:pPr>
              <w:jc w:val="center"/>
              <w:rPr>
                <w:rFonts w:ascii="Times New Roman" w:hAnsi="Times New Roman"/>
                <w:kern w:val="0"/>
                <w:sz w:val="28"/>
                <w:szCs w:val="28"/>
              </w:rPr>
            </w:pPr>
          </w:p>
        </w:tc>
        <w:tc>
          <w:tcPr>
            <w:tcW w:w="2552" w:type="dxa"/>
            <w:gridSpan w:val="3"/>
            <w:tcBorders>
              <w:bottom w:val="single" w:color="auto" w:sz="4" w:space="0"/>
            </w:tcBorders>
            <w:shd w:val="clear" w:color="auto" w:fill="auto"/>
            <w:noWrap w:val="0"/>
            <w:vAlign w:val="center"/>
          </w:tcPr>
          <w:p>
            <w:pPr>
              <w:jc w:val="center"/>
              <w:rPr>
                <w:rFonts w:ascii="Times New Roman" w:hAnsi="Times New Roman"/>
                <w:kern w:val="0"/>
                <w:sz w:val="28"/>
                <w:szCs w:val="28"/>
              </w:rPr>
            </w:pPr>
            <w:r>
              <w:rPr>
                <w:rFonts w:hint="eastAsia" w:ascii="Times New Roman" w:eastAsia="仿宋_GB2312"/>
                <w:kern w:val="0"/>
                <w:sz w:val="28"/>
                <w:szCs w:val="28"/>
              </w:rPr>
              <w:t>注册代码</w:t>
            </w:r>
          </w:p>
        </w:tc>
        <w:tc>
          <w:tcPr>
            <w:tcW w:w="5101" w:type="dxa"/>
            <w:gridSpan w:val="3"/>
            <w:tcBorders>
              <w:bottom w:val="single" w:color="auto" w:sz="4" w:space="0"/>
            </w:tcBorders>
            <w:shd w:val="clear" w:color="auto" w:fill="auto"/>
            <w:noWrap w:val="0"/>
            <w:vAlign w:val="center"/>
          </w:tcPr>
          <w:p>
            <w:pPr>
              <w:spacing w:line="360" w:lineRule="auto"/>
              <w:jc w:val="center"/>
              <w:rPr>
                <w:rFonts w:ascii="Times New Roman" w:hAnsi="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8" w:type="dxa"/>
            <w:gridSpan w:val="2"/>
            <w:shd w:val="clear" w:color="auto" w:fill="auto"/>
            <w:noWrap w:val="0"/>
            <w:vAlign w:val="center"/>
          </w:tcPr>
          <w:p>
            <w:pPr>
              <w:jc w:val="center"/>
              <w:rPr>
                <w:rFonts w:ascii="Times New Roman" w:hAnsi="Times New Roman" w:eastAsia="仿宋_GB2312"/>
                <w:kern w:val="0"/>
                <w:sz w:val="28"/>
                <w:szCs w:val="28"/>
              </w:rPr>
            </w:pPr>
            <w:r>
              <w:rPr>
                <w:rFonts w:hint="eastAsia" w:ascii="Times New Roman" w:hAnsi="Times New Roman" w:eastAsia="仿宋_GB2312"/>
                <w:kern w:val="0"/>
                <w:sz w:val="28"/>
                <w:szCs w:val="28"/>
              </w:rPr>
              <w:t>锅炉产品编号</w:t>
            </w:r>
          </w:p>
        </w:tc>
        <w:tc>
          <w:tcPr>
            <w:tcW w:w="3685" w:type="dxa"/>
            <w:gridSpan w:val="2"/>
            <w:shd w:val="clear" w:color="auto" w:fill="auto"/>
            <w:noWrap w:val="0"/>
            <w:vAlign w:val="center"/>
          </w:tcPr>
          <w:p>
            <w:pPr>
              <w:spacing w:line="360" w:lineRule="auto"/>
              <w:rPr>
                <w:rFonts w:ascii="Times New Roman" w:hAnsi="Times New Roman" w:eastAsia="仿宋_GB2312"/>
                <w:spacing w:val="6"/>
                <w:kern w:val="0"/>
                <w:sz w:val="28"/>
                <w:szCs w:val="28"/>
              </w:rPr>
            </w:pPr>
          </w:p>
        </w:tc>
        <w:tc>
          <w:tcPr>
            <w:tcW w:w="2552" w:type="dxa"/>
            <w:gridSpan w:val="3"/>
            <w:shd w:val="clear" w:color="auto" w:fill="auto"/>
            <w:noWrap w:val="0"/>
            <w:vAlign w:val="center"/>
          </w:tcPr>
          <w:p>
            <w:pPr>
              <w:spacing w:line="360" w:lineRule="auto"/>
              <w:jc w:val="center"/>
              <w:rPr>
                <w:rFonts w:ascii="Times New Roman" w:hAnsi="Times New Roman" w:eastAsia="仿宋_GB2312"/>
                <w:spacing w:val="6"/>
                <w:kern w:val="0"/>
                <w:sz w:val="28"/>
                <w:szCs w:val="28"/>
              </w:rPr>
            </w:pPr>
            <w:r>
              <w:rPr>
                <w:rFonts w:hint="eastAsia" w:ascii="Times New Roman" w:hAnsi="Times New Roman" w:eastAsia="仿宋_GB2312"/>
                <w:spacing w:val="6"/>
                <w:kern w:val="0"/>
                <w:sz w:val="28"/>
                <w:szCs w:val="28"/>
              </w:rPr>
              <w:t>使用编号</w:t>
            </w:r>
          </w:p>
        </w:tc>
        <w:tc>
          <w:tcPr>
            <w:tcW w:w="5101" w:type="dxa"/>
            <w:gridSpan w:val="3"/>
            <w:shd w:val="clear" w:color="auto" w:fill="auto"/>
            <w:noWrap w:val="0"/>
            <w:vAlign w:val="center"/>
          </w:tcPr>
          <w:p>
            <w:pPr>
              <w:spacing w:line="360" w:lineRule="auto"/>
              <w:jc w:val="center"/>
              <w:rPr>
                <w:rFonts w:ascii="Times New Roman" w:hAnsi="Times New Roman" w:eastAsia="仿宋_GB2312"/>
                <w:spacing w:val="6"/>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68" w:type="dxa"/>
            <w:gridSpan w:val="2"/>
            <w:shd w:val="clear" w:color="auto" w:fill="auto"/>
            <w:noWrap w:val="0"/>
            <w:vAlign w:val="center"/>
          </w:tcPr>
          <w:p>
            <w:pPr>
              <w:jc w:val="center"/>
              <w:rPr>
                <w:rFonts w:ascii="Times New Roman" w:hAnsi="Times New Roman"/>
                <w:kern w:val="0"/>
                <w:sz w:val="28"/>
                <w:szCs w:val="28"/>
              </w:rPr>
            </w:pPr>
            <w:r>
              <w:rPr>
                <w:rFonts w:hint="eastAsia" w:ascii="Times New Roman" w:eastAsia="仿宋_GB2312"/>
                <w:kern w:val="0"/>
                <w:sz w:val="28"/>
                <w:szCs w:val="28"/>
              </w:rPr>
              <w:t>燃烧器型号</w:t>
            </w:r>
          </w:p>
        </w:tc>
        <w:tc>
          <w:tcPr>
            <w:tcW w:w="3685" w:type="dxa"/>
            <w:gridSpan w:val="2"/>
            <w:shd w:val="clear" w:color="auto" w:fill="auto"/>
            <w:noWrap w:val="0"/>
            <w:vAlign w:val="center"/>
          </w:tcPr>
          <w:p>
            <w:pPr>
              <w:jc w:val="right"/>
              <w:rPr>
                <w:rFonts w:ascii="Times New Roman" w:hAnsi="Times New Roman" w:eastAsia="仿宋_GB2312"/>
                <w:kern w:val="0"/>
                <w:sz w:val="28"/>
                <w:szCs w:val="28"/>
              </w:rPr>
            </w:pPr>
          </w:p>
        </w:tc>
        <w:tc>
          <w:tcPr>
            <w:tcW w:w="2552" w:type="dxa"/>
            <w:gridSpan w:val="3"/>
            <w:shd w:val="clear" w:color="auto" w:fill="auto"/>
            <w:noWrap w:val="0"/>
            <w:vAlign w:val="center"/>
          </w:tcPr>
          <w:p>
            <w:pPr>
              <w:ind w:left="-107" w:leftChars="-51" w:right="-113" w:rightChars="-54" w:firstLine="8" w:firstLineChars="3"/>
              <w:jc w:val="center"/>
              <w:rPr>
                <w:rFonts w:ascii="Times New Roman" w:hAnsi="Times New Roman" w:eastAsia="仿宋_GB2312"/>
                <w:kern w:val="0"/>
                <w:sz w:val="28"/>
                <w:szCs w:val="28"/>
              </w:rPr>
            </w:pPr>
            <w:r>
              <w:rPr>
                <w:rFonts w:hint="eastAsia" w:ascii="Times New Roman" w:hAnsi="Times New Roman" w:eastAsia="仿宋_GB2312"/>
                <w:kern w:val="0"/>
                <w:sz w:val="28"/>
                <w:szCs w:val="28"/>
              </w:rPr>
              <w:t>燃烧制造单位</w:t>
            </w:r>
          </w:p>
        </w:tc>
        <w:tc>
          <w:tcPr>
            <w:tcW w:w="5101" w:type="dxa"/>
            <w:gridSpan w:val="3"/>
            <w:shd w:val="clear" w:color="auto" w:fill="auto"/>
            <w:noWrap w:val="0"/>
            <w:vAlign w:val="center"/>
          </w:tcPr>
          <w:p>
            <w:pPr>
              <w:spacing w:line="360" w:lineRule="auto"/>
              <w:jc w:val="right"/>
              <w:rPr>
                <w:rFonts w:ascii="Times New Roman" w:hAnsi="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8" w:type="dxa"/>
            <w:gridSpan w:val="2"/>
            <w:shd w:val="clear" w:color="auto" w:fill="auto"/>
            <w:noWrap w:val="0"/>
            <w:vAlign w:val="center"/>
          </w:tcPr>
          <w:p>
            <w:pPr>
              <w:jc w:val="center"/>
              <w:rPr>
                <w:rFonts w:ascii="Times New Roman" w:hAnsi="Times New Roman" w:eastAsia="仿宋_GB2312"/>
                <w:kern w:val="0"/>
                <w:sz w:val="28"/>
                <w:szCs w:val="28"/>
              </w:rPr>
            </w:pPr>
            <w:r>
              <w:rPr>
                <w:rFonts w:hint="eastAsia" w:ascii="Times New Roman" w:hAnsi="Times New Roman" w:eastAsia="仿宋_GB2312"/>
                <w:kern w:val="0"/>
                <w:sz w:val="28"/>
                <w:szCs w:val="28"/>
              </w:rPr>
              <w:t>燃烧器编号</w:t>
            </w:r>
          </w:p>
        </w:tc>
        <w:tc>
          <w:tcPr>
            <w:tcW w:w="3685" w:type="dxa"/>
            <w:gridSpan w:val="2"/>
            <w:shd w:val="clear" w:color="auto" w:fill="auto"/>
            <w:noWrap w:val="0"/>
            <w:vAlign w:val="center"/>
          </w:tcPr>
          <w:p>
            <w:pPr>
              <w:jc w:val="right"/>
              <w:rPr>
                <w:rFonts w:ascii="Times New Roman" w:hAnsi="Times New Roman" w:eastAsia="仿宋_GB2312"/>
                <w:kern w:val="0"/>
                <w:sz w:val="28"/>
                <w:szCs w:val="28"/>
              </w:rPr>
            </w:pPr>
          </w:p>
        </w:tc>
        <w:tc>
          <w:tcPr>
            <w:tcW w:w="2552" w:type="dxa"/>
            <w:gridSpan w:val="3"/>
            <w:shd w:val="clear" w:color="auto" w:fill="auto"/>
            <w:noWrap w:val="0"/>
            <w:vAlign w:val="center"/>
          </w:tcPr>
          <w:p>
            <w:pPr>
              <w:ind w:left="-107" w:leftChars="-51" w:right="-113" w:rightChars="-54" w:firstLine="8" w:firstLineChars="3"/>
              <w:jc w:val="center"/>
              <w:rPr>
                <w:rFonts w:ascii="Times New Roman" w:hAnsi="Times New Roman" w:eastAsia="仿宋_GB2312"/>
                <w:kern w:val="0"/>
                <w:sz w:val="28"/>
                <w:szCs w:val="28"/>
              </w:rPr>
            </w:pPr>
            <w:r>
              <w:rPr>
                <w:rFonts w:ascii="Times New Roman" w:hAnsi="Times New Roman" w:eastAsia="仿宋_GB2312"/>
                <w:kern w:val="0"/>
                <w:sz w:val="28"/>
                <w:szCs w:val="28"/>
              </w:rPr>
              <w:t>程序控制器</w:t>
            </w:r>
            <w:r>
              <w:rPr>
                <w:rFonts w:hint="eastAsia" w:ascii="Times New Roman" w:hAnsi="Times New Roman" w:eastAsia="仿宋_GB2312"/>
                <w:kern w:val="0"/>
                <w:sz w:val="28"/>
                <w:szCs w:val="28"/>
              </w:rPr>
              <w:t>型号</w:t>
            </w:r>
          </w:p>
        </w:tc>
        <w:tc>
          <w:tcPr>
            <w:tcW w:w="5101" w:type="dxa"/>
            <w:gridSpan w:val="3"/>
            <w:shd w:val="clear" w:color="auto" w:fill="auto"/>
            <w:noWrap w:val="0"/>
            <w:vAlign w:val="center"/>
          </w:tcPr>
          <w:p>
            <w:pPr>
              <w:spacing w:line="360" w:lineRule="auto"/>
              <w:jc w:val="right"/>
              <w:rPr>
                <w:rFonts w:ascii="Times New Roman" w:hAnsi="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2768" w:type="dxa"/>
            <w:gridSpan w:val="2"/>
            <w:shd w:val="clear" w:color="auto" w:fill="auto"/>
            <w:noWrap w:val="0"/>
            <w:vAlign w:val="center"/>
          </w:tcPr>
          <w:p>
            <w:pPr>
              <w:jc w:val="center"/>
              <w:rPr>
                <w:rFonts w:ascii="Times New Roman" w:hAnsi="Times New Roman" w:eastAsia="仿宋_GB2312"/>
                <w:kern w:val="0"/>
                <w:sz w:val="28"/>
                <w:szCs w:val="28"/>
              </w:rPr>
            </w:pPr>
            <w:r>
              <w:rPr>
                <w:rFonts w:ascii="Times New Roman" w:hAnsi="Times New Roman" w:eastAsia="仿宋_GB2312"/>
                <w:kern w:val="0"/>
                <w:sz w:val="28"/>
                <w:szCs w:val="28"/>
              </w:rPr>
              <w:t>程序控制器</w:t>
            </w:r>
            <w:r>
              <w:rPr>
                <w:rFonts w:hint="eastAsia" w:ascii="Times New Roman" w:hAnsi="Times New Roman" w:eastAsia="仿宋_GB2312"/>
                <w:kern w:val="0"/>
                <w:sz w:val="28"/>
                <w:szCs w:val="28"/>
              </w:rPr>
              <w:t>制造单位</w:t>
            </w:r>
          </w:p>
        </w:tc>
        <w:tc>
          <w:tcPr>
            <w:tcW w:w="11338" w:type="dxa"/>
            <w:gridSpan w:val="8"/>
            <w:shd w:val="clear" w:color="auto" w:fill="auto"/>
            <w:noWrap w:val="0"/>
            <w:vAlign w:val="center"/>
          </w:tcPr>
          <w:p>
            <w:pPr>
              <w:spacing w:line="360" w:lineRule="auto"/>
              <w:ind w:left="-109" w:leftChars="-52" w:right="-107" w:rightChars="-51"/>
              <w:jc w:val="center"/>
              <w:rPr>
                <w:rFonts w:ascii="Times New Roman" w:hAnsi="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4106" w:type="dxa"/>
            <w:gridSpan w:val="10"/>
            <w:shd w:val="clear" w:color="auto" w:fill="auto"/>
            <w:noWrap w:val="0"/>
            <w:vAlign w:val="center"/>
          </w:tcPr>
          <w:p>
            <w:pPr>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燃气燃烧器检查主要内容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shd w:val="clear" w:color="auto" w:fill="auto"/>
            <w:noWrap w:val="0"/>
            <w:vAlign w:val="center"/>
          </w:tcPr>
          <w:p>
            <w:pPr>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序号</w:t>
            </w:r>
          </w:p>
        </w:tc>
        <w:tc>
          <w:tcPr>
            <w:tcW w:w="3122" w:type="dxa"/>
            <w:gridSpan w:val="2"/>
            <w:shd w:val="clear" w:color="auto" w:fill="auto"/>
            <w:noWrap w:val="0"/>
            <w:vAlign w:val="center"/>
          </w:tcPr>
          <w:p>
            <w:pPr>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检查项目</w:t>
            </w:r>
          </w:p>
        </w:tc>
        <w:tc>
          <w:tcPr>
            <w:tcW w:w="3905"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检查内容</w:t>
            </w:r>
          </w:p>
        </w:tc>
        <w:tc>
          <w:tcPr>
            <w:tcW w:w="2710" w:type="dxa"/>
            <w:gridSpan w:val="3"/>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检查结果</w:t>
            </w:r>
          </w:p>
        </w:tc>
        <w:tc>
          <w:tcPr>
            <w:tcW w:w="3589"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存在问题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shd w:val="clear" w:color="auto" w:fill="auto"/>
            <w:noWrap w:val="0"/>
            <w:vAlign w:val="center"/>
          </w:tcPr>
          <w:p>
            <w:pPr>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1</w:t>
            </w:r>
          </w:p>
        </w:tc>
        <w:tc>
          <w:tcPr>
            <w:tcW w:w="3122" w:type="dxa"/>
            <w:gridSpan w:val="2"/>
            <w:shd w:val="clear" w:color="auto" w:fill="auto"/>
            <w:noWrap w:val="0"/>
            <w:vAlign w:val="center"/>
          </w:tcPr>
          <w:p>
            <w:pPr>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技术文件及铭牌检查</w:t>
            </w:r>
          </w:p>
        </w:tc>
        <w:tc>
          <w:tcPr>
            <w:tcW w:w="3905"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资料齐全、铭牌清晰一致</w:t>
            </w:r>
          </w:p>
        </w:tc>
        <w:tc>
          <w:tcPr>
            <w:tcW w:w="2710" w:type="dxa"/>
            <w:gridSpan w:val="3"/>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c>
          <w:tcPr>
            <w:tcW w:w="3589"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Merge w:val="restart"/>
            <w:shd w:val="clear" w:color="auto" w:fill="auto"/>
            <w:noWrap w:val="0"/>
            <w:vAlign w:val="center"/>
          </w:tcPr>
          <w:p>
            <w:pPr>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2</w:t>
            </w:r>
          </w:p>
        </w:tc>
        <w:tc>
          <w:tcPr>
            <w:tcW w:w="3122" w:type="dxa"/>
            <w:gridSpan w:val="2"/>
            <w:vMerge w:val="restart"/>
            <w:shd w:val="clear" w:color="auto" w:fill="auto"/>
            <w:noWrap w:val="0"/>
            <w:vAlign w:val="center"/>
          </w:tcPr>
          <w:p>
            <w:pPr>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安全与控制装置检查</w:t>
            </w:r>
          </w:p>
        </w:tc>
        <w:tc>
          <w:tcPr>
            <w:tcW w:w="3905"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程序控制器与型式试验报告一致</w:t>
            </w:r>
          </w:p>
        </w:tc>
        <w:tc>
          <w:tcPr>
            <w:tcW w:w="2710" w:type="dxa"/>
            <w:gridSpan w:val="3"/>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c>
          <w:tcPr>
            <w:tcW w:w="3589"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122" w:type="dxa"/>
            <w:gridSpan w:val="2"/>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905"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安全切断阀布置</w:t>
            </w:r>
          </w:p>
        </w:tc>
        <w:tc>
          <w:tcPr>
            <w:tcW w:w="2710" w:type="dxa"/>
            <w:gridSpan w:val="3"/>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c>
          <w:tcPr>
            <w:tcW w:w="3589"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122" w:type="dxa"/>
            <w:gridSpan w:val="2"/>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905"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火焰检测装置</w:t>
            </w:r>
          </w:p>
        </w:tc>
        <w:tc>
          <w:tcPr>
            <w:tcW w:w="2710" w:type="dxa"/>
            <w:gridSpan w:val="3"/>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c>
          <w:tcPr>
            <w:tcW w:w="3589"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122" w:type="dxa"/>
            <w:gridSpan w:val="2"/>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905"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空气压力监测装置</w:t>
            </w:r>
          </w:p>
        </w:tc>
        <w:tc>
          <w:tcPr>
            <w:tcW w:w="2710" w:type="dxa"/>
            <w:gridSpan w:val="3"/>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c>
          <w:tcPr>
            <w:tcW w:w="3589"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122" w:type="dxa"/>
            <w:gridSpan w:val="2"/>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905"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燃料压力监测装置</w:t>
            </w:r>
          </w:p>
        </w:tc>
        <w:tc>
          <w:tcPr>
            <w:tcW w:w="2710" w:type="dxa"/>
            <w:gridSpan w:val="3"/>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c>
          <w:tcPr>
            <w:tcW w:w="3589"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122" w:type="dxa"/>
            <w:gridSpan w:val="2"/>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905"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阀门检漏装置</w:t>
            </w:r>
          </w:p>
        </w:tc>
        <w:tc>
          <w:tcPr>
            <w:tcW w:w="2710" w:type="dxa"/>
            <w:gridSpan w:val="3"/>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c>
          <w:tcPr>
            <w:tcW w:w="3589"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shd w:val="clear" w:color="auto" w:fill="auto"/>
            <w:noWrap w:val="0"/>
            <w:vAlign w:val="center"/>
          </w:tcPr>
          <w:p>
            <w:pPr>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3</w:t>
            </w:r>
          </w:p>
        </w:tc>
        <w:tc>
          <w:tcPr>
            <w:tcW w:w="3122" w:type="dxa"/>
            <w:gridSpan w:val="2"/>
            <w:shd w:val="clear" w:color="auto" w:fill="auto"/>
            <w:noWrap w:val="0"/>
            <w:vAlign w:val="center"/>
          </w:tcPr>
          <w:p>
            <w:pPr>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燃烧器管路密封性能检查</w:t>
            </w:r>
          </w:p>
        </w:tc>
        <w:tc>
          <w:tcPr>
            <w:tcW w:w="3905"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燃气泄漏测试</w:t>
            </w:r>
          </w:p>
        </w:tc>
        <w:tc>
          <w:tcPr>
            <w:tcW w:w="2710" w:type="dxa"/>
            <w:gridSpan w:val="3"/>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c>
          <w:tcPr>
            <w:tcW w:w="3589"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Merge w:val="restart"/>
            <w:shd w:val="clear" w:color="auto" w:fill="auto"/>
            <w:noWrap w:val="0"/>
            <w:vAlign w:val="center"/>
          </w:tcPr>
          <w:p>
            <w:pPr>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4</w:t>
            </w:r>
          </w:p>
        </w:tc>
        <w:tc>
          <w:tcPr>
            <w:tcW w:w="3122" w:type="dxa"/>
            <w:gridSpan w:val="2"/>
            <w:vMerge w:val="restart"/>
            <w:shd w:val="clear" w:color="auto" w:fill="auto"/>
            <w:noWrap w:val="0"/>
            <w:vAlign w:val="center"/>
          </w:tcPr>
          <w:p>
            <w:pPr>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安全性能检查</w:t>
            </w:r>
          </w:p>
        </w:tc>
        <w:tc>
          <w:tcPr>
            <w:tcW w:w="3905"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点火测试</w:t>
            </w:r>
          </w:p>
        </w:tc>
        <w:tc>
          <w:tcPr>
            <w:tcW w:w="2710" w:type="dxa"/>
            <w:gridSpan w:val="3"/>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c>
          <w:tcPr>
            <w:tcW w:w="3589"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122" w:type="dxa"/>
            <w:gridSpan w:val="2"/>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905"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前吹扫时间</w:t>
            </w:r>
          </w:p>
        </w:tc>
        <w:tc>
          <w:tcPr>
            <w:tcW w:w="2710" w:type="dxa"/>
            <w:gridSpan w:val="3"/>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c>
          <w:tcPr>
            <w:tcW w:w="3589"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122" w:type="dxa"/>
            <w:gridSpan w:val="2"/>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905"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点火安全时间</w:t>
            </w:r>
          </w:p>
        </w:tc>
        <w:tc>
          <w:tcPr>
            <w:tcW w:w="2710" w:type="dxa"/>
            <w:gridSpan w:val="3"/>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c>
          <w:tcPr>
            <w:tcW w:w="3589"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122" w:type="dxa"/>
            <w:gridSpan w:val="2"/>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905"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熄火安全时间</w:t>
            </w:r>
          </w:p>
        </w:tc>
        <w:tc>
          <w:tcPr>
            <w:tcW w:w="2710" w:type="dxa"/>
            <w:gridSpan w:val="3"/>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c>
          <w:tcPr>
            <w:tcW w:w="3589"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122" w:type="dxa"/>
            <w:gridSpan w:val="2"/>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905"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后吹扫时间</w:t>
            </w:r>
          </w:p>
        </w:tc>
        <w:tc>
          <w:tcPr>
            <w:tcW w:w="2710" w:type="dxa"/>
            <w:gridSpan w:val="3"/>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c>
          <w:tcPr>
            <w:tcW w:w="3589"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122" w:type="dxa"/>
            <w:gridSpan w:val="2"/>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905"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火焰故障联锁</w:t>
            </w:r>
          </w:p>
        </w:tc>
        <w:tc>
          <w:tcPr>
            <w:tcW w:w="2710" w:type="dxa"/>
            <w:gridSpan w:val="3"/>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c>
          <w:tcPr>
            <w:tcW w:w="3589"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122" w:type="dxa"/>
            <w:gridSpan w:val="2"/>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905"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燃气高压保护联锁</w:t>
            </w:r>
          </w:p>
        </w:tc>
        <w:tc>
          <w:tcPr>
            <w:tcW w:w="2710" w:type="dxa"/>
            <w:gridSpan w:val="3"/>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c>
          <w:tcPr>
            <w:tcW w:w="3589"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122" w:type="dxa"/>
            <w:gridSpan w:val="2"/>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905"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空气流量故障联锁</w:t>
            </w:r>
          </w:p>
        </w:tc>
        <w:tc>
          <w:tcPr>
            <w:tcW w:w="2710" w:type="dxa"/>
            <w:gridSpan w:val="3"/>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c>
          <w:tcPr>
            <w:tcW w:w="3589"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122" w:type="dxa"/>
            <w:gridSpan w:val="2"/>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905"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位置验证异常联锁</w:t>
            </w:r>
          </w:p>
        </w:tc>
        <w:tc>
          <w:tcPr>
            <w:tcW w:w="2710" w:type="dxa"/>
            <w:gridSpan w:val="3"/>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c>
          <w:tcPr>
            <w:tcW w:w="3589"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122" w:type="dxa"/>
            <w:gridSpan w:val="2"/>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905"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燃气阀门检漏联锁</w:t>
            </w:r>
          </w:p>
        </w:tc>
        <w:tc>
          <w:tcPr>
            <w:tcW w:w="2710" w:type="dxa"/>
            <w:gridSpan w:val="3"/>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c>
          <w:tcPr>
            <w:tcW w:w="3589"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122" w:type="dxa"/>
            <w:gridSpan w:val="2"/>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905"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锅炉超压联锁</w:t>
            </w:r>
          </w:p>
        </w:tc>
        <w:tc>
          <w:tcPr>
            <w:tcW w:w="2710" w:type="dxa"/>
            <w:gridSpan w:val="3"/>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c>
          <w:tcPr>
            <w:tcW w:w="3589"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122" w:type="dxa"/>
            <w:gridSpan w:val="2"/>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905"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锅炉超温联锁</w:t>
            </w:r>
          </w:p>
        </w:tc>
        <w:tc>
          <w:tcPr>
            <w:tcW w:w="2710" w:type="dxa"/>
            <w:gridSpan w:val="3"/>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c>
          <w:tcPr>
            <w:tcW w:w="3589"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122" w:type="dxa"/>
            <w:gridSpan w:val="2"/>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905"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锅炉低水位联锁</w:t>
            </w:r>
          </w:p>
        </w:tc>
        <w:tc>
          <w:tcPr>
            <w:tcW w:w="2710" w:type="dxa"/>
            <w:gridSpan w:val="3"/>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c>
          <w:tcPr>
            <w:tcW w:w="3589"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Merge w:val="restart"/>
            <w:shd w:val="clear" w:color="auto" w:fill="auto"/>
            <w:noWrap w:val="0"/>
            <w:vAlign w:val="center"/>
          </w:tcPr>
          <w:p>
            <w:pPr>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5</w:t>
            </w:r>
          </w:p>
        </w:tc>
        <w:tc>
          <w:tcPr>
            <w:tcW w:w="3122" w:type="dxa"/>
            <w:gridSpan w:val="2"/>
            <w:vMerge w:val="restart"/>
            <w:shd w:val="clear" w:color="auto" w:fill="auto"/>
            <w:noWrap w:val="0"/>
            <w:vAlign w:val="center"/>
          </w:tcPr>
          <w:p>
            <w:pPr>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燃烧器运行检查</w:t>
            </w:r>
          </w:p>
        </w:tc>
        <w:tc>
          <w:tcPr>
            <w:tcW w:w="3905"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燃烧器运行状况</w:t>
            </w:r>
          </w:p>
        </w:tc>
        <w:tc>
          <w:tcPr>
            <w:tcW w:w="2710" w:type="dxa"/>
            <w:gridSpan w:val="3"/>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c>
          <w:tcPr>
            <w:tcW w:w="3589"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122" w:type="dxa"/>
            <w:gridSpan w:val="2"/>
            <w:vMerge w:val="continue"/>
            <w:shd w:val="clear" w:color="auto" w:fill="auto"/>
            <w:noWrap w:val="0"/>
            <w:vAlign w:val="center"/>
          </w:tcPr>
          <w:p>
            <w:pPr>
              <w:jc w:val="center"/>
              <w:rPr>
                <w:rFonts w:hint="eastAsia" w:ascii="仿宋_GB2312" w:hAnsi="仿宋_GB2312" w:eastAsia="仿宋_GB2312" w:cs="仿宋_GB2312"/>
                <w:bCs/>
                <w:kern w:val="0"/>
                <w:sz w:val="24"/>
                <w:szCs w:val="24"/>
              </w:rPr>
            </w:pPr>
          </w:p>
        </w:tc>
        <w:tc>
          <w:tcPr>
            <w:tcW w:w="3905"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燃烧器噪声</w:t>
            </w:r>
          </w:p>
        </w:tc>
        <w:tc>
          <w:tcPr>
            <w:tcW w:w="2710" w:type="dxa"/>
            <w:gridSpan w:val="3"/>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c>
          <w:tcPr>
            <w:tcW w:w="3589" w:type="dxa"/>
            <w:gridSpan w:val="2"/>
            <w:shd w:val="clear" w:color="auto" w:fill="auto"/>
            <w:noWrap w:val="0"/>
            <w:vAlign w:val="center"/>
          </w:tcPr>
          <w:p>
            <w:pPr>
              <w:spacing w:line="360" w:lineRule="auto"/>
              <w:jc w:val="center"/>
              <w:rPr>
                <w:rFonts w:hint="eastAsia" w:ascii="仿宋_GB2312" w:hAnsi="仿宋_GB2312" w:eastAsia="仿宋_GB2312" w:cs="仿宋_GB2312"/>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6" w:hRule="atLeast"/>
          <w:jc w:val="center"/>
        </w:trPr>
        <w:tc>
          <w:tcPr>
            <w:tcW w:w="3902" w:type="dxa"/>
            <w:gridSpan w:val="3"/>
            <w:shd w:val="clear" w:color="auto" w:fill="auto"/>
            <w:noWrap w:val="0"/>
            <w:vAlign w:val="center"/>
          </w:tcPr>
          <w:p>
            <w:pPr>
              <w:jc w:val="center"/>
              <w:rPr>
                <w:rFonts w:hint="eastAsia" w:ascii="仿宋_GB2312" w:hAnsi="仿宋_GB2312" w:eastAsia="仿宋_GB2312" w:cs="仿宋_GB2312"/>
                <w:b/>
                <w:kern w:val="0"/>
                <w:sz w:val="24"/>
                <w:szCs w:val="24"/>
              </w:rPr>
            </w:pPr>
            <w:r>
              <w:rPr>
                <w:rFonts w:hint="eastAsia" w:ascii="仿宋_GB2312" w:hAnsi="仿宋_GB2312" w:eastAsia="仿宋_GB2312" w:cs="仿宋_GB2312"/>
                <w:bCs/>
                <w:kern w:val="0"/>
                <w:sz w:val="24"/>
                <w:szCs w:val="24"/>
              </w:rPr>
              <w:t>主要问题及处置情况</w:t>
            </w:r>
          </w:p>
        </w:tc>
        <w:tc>
          <w:tcPr>
            <w:tcW w:w="10204" w:type="dxa"/>
            <w:gridSpan w:val="7"/>
            <w:shd w:val="clear" w:color="auto" w:fill="auto"/>
            <w:noWrap w:val="0"/>
            <w:vAlign w:val="center"/>
          </w:tcPr>
          <w:p>
            <w:pPr>
              <w:spacing w:line="276" w:lineRule="auto"/>
              <w:rPr>
                <w:rFonts w:hint="eastAsia" w:ascii="仿宋_GB2312" w:hAnsi="仿宋_GB2312" w:eastAsia="仿宋_GB2312" w:cs="仿宋_GB2312"/>
                <w:spacing w:val="6"/>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3902" w:type="dxa"/>
            <w:gridSpan w:val="3"/>
            <w:shd w:val="clear" w:color="auto" w:fill="auto"/>
            <w:noWrap w:val="0"/>
            <w:vAlign w:val="center"/>
          </w:tcPr>
          <w:p>
            <w:pPr>
              <w:spacing w:line="276" w:lineRule="auto"/>
              <w:jc w:val="center"/>
              <w:rPr>
                <w:rFonts w:hint="eastAsia" w:ascii="仿宋_GB2312" w:hAnsi="仿宋_GB2312" w:eastAsia="仿宋_GB2312" w:cs="仿宋_GB2312"/>
                <w:b/>
                <w:kern w:val="0"/>
                <w:sz w:val="24"/>
                <w:szCs w:val="24"/>
              </w:rPr>
            </w:pPr>
            <w:r>
              <w:rPr>
                <w:rFonts w:hint="eastAsia" w:ascii="仿宋_GB2312" w:hAnsi="仿宋_GB2312" w:eastAsia="仿宋_GB2312" w:cs="仿宋_GB2312"/>
                <w:kern w:val="0"/>
                <w:sz w:val="24"/>
                <w:szCs w:val="24"/>
              </w:rPr>
              <w:t>检查人员</w:t>
            </w:r>
          </w:p>
        </w:tc>
        <w:tc>
          <w:tcPr>
            <w:tcW w:w="4536" w:type="dxa"/>
            <w:gridSpan w:val="3"/>
            <w:shd w:val="clear" w:color="auto" w:fill="auto"/>
            <w:noWrap w:val="0"/>
            <w:vAlign w:val="center"/>
          </w:tcPr>
          <w:p>
            <w:pPr>
              <w:spacing w:line="276" w:lineRule="auto"/>
              <w:rPr>
                <w:rFonts w:hint="eastAsia" w:ascii="仿宋_GB2312" w:hAnsi="仿宋_GB2312" w:eastAsia="仿宋_GB2312" w:cs="仿宋_GB2312"/>
                <w:spacing w:val="6"/>
                <w:kern w:val="0"/>
                <w:sz w:val="24"/>
                <w:szCs w:val="24"/>
              </w:rPr>
            </w:pPr>
          </w:p>
        </w:tc>
        <w:tc>
          <w:tcPr>
            <w:tcW w:w="2103" w:type="dxa"/>
            <w:gridSpan w:val="3"/>
            <w:shd w:val="clear" w:color="auto" w:fill="auto"/>
            <w:noWrap w:val="0"/>
            <w:vAlign w:val="center"/>
          </w:tcPr>
          <w:p>
            <w:pPr>
              <w:spacing w:line="276" w:lineRule="auto"/>
              <w:jc w:val="center"/>
              <w:rPr>
                <w:rFonts w:hint="eastAsia" w:ascii="仿宋_GB2312" w:hAnsi="仿宋_GB2312" w:eastAsia="仿宋_GB2312" w:cs="仿宋_GB2312"/>
                <w:spacing w:val="6"/>
                <w:kern w:val="0"/>
                <w:sz w:val="24"/>
                <w:szCs w:val="24"/>
              </w:rPr>
            </w:pPr>
            <w:r>
              <w:rPr>
                <w:rFonts w:hint="eastAsia" w:ascii="仿宋_GB2312" w:hAnsi="仿宋_GB2312" w:eastAsia="仿宋_GB2312" w:cs="仿宋_GB2312"/>
                <w:kern w:val="0"/>
                <w:sz w:val="24"/>
                <w:szCs w:val="24"/>
              </w:rPr>
              <w:t>检查日期</w:t>
            </w:r>
          </w:p>
        </w:tc>
        <w:tc>
          <w:tcPr>
            <w:tcW w:w="3565" w:type="dxa"/>
            <w:shd w:val="clear" w:color="auto" w:fill="auto"/>
            <w:noWrap w:val="0"/>
            <w:vAlign w:val="center"/>
          </w:tcPr>
          <w:p>
            <w:pPr>
              <w:spacing w:line="276" w:lineRule="auto"/>
              <w:rPr>
                <w:rFonts w:hint="eastAsia" w:ascii="仿宋_GB2312" w:hAnsi="仿宋_GB2312" w:eastAsia="仿宋_GB2312" w:cs="仿宋_GB2312"/>
                <w:b/>
                <w:spacing w:val="6"/>
                <w:kern w:val="0"/>
                <w:sz w:val="24"/>
                <w:szCs w:val="24"/>
              </w:rPr>
            </w:pPr>
            <w:r>
              <w:rPr>
                <w:rFonts w:hint="eastAsia" w:ascii="仿宋_GB2312" w:hAnsi="仿宋_GB2312" w:eastAsia="仿宋_GB2312" w:cs="仿宋_GB2312"/>
                <w:spacing w:val="6"/>
                <w:kern w:val="0"/>
                <w:sz w:val="24"/>
                <w:szCs w:val="24"/>
              </w:rPr>
              <w:t xml:space="preserve">      </w:t>
            </w:r>
            <w:r>
              <w:rPr>
                <w:rFonts w:hint="eastAsia" w:ascii="仿宋_GB2312" w:hAnsi="仿宋_GB2312" w:eastAsia="仿宋_GB2312" w:cs="仿宋_GB2312"/>
                <w:b/>
                <w:spacing w:val="6"/>
                <w:kern w:val="0"/>
                <w:sz w:val="24"/>
                <w:szCs w:val="24"/>
              </w:rPr>
              <w:t xml:space="preserve">  </w:t>
            </w:r>
            <w:r>
              <w:rPr>
                <w:rFonts w:hint="eastAsia" w:ascii="仿宋_GB2312" w:hAnsi="仿宋_GB2312" w:eastAsia="仿宋_GB2312" w:cs="仿宋_GB2312"/>
                <w:bCs/>
                <w:spacing w:val="6"/>
                <w:kern w:val="0"/>
                <w:sz w:val="24"/>
                <w:szCs w:val="24"/>
              </w:rPr>
              <w:t>年     月     日</w:t>
            </w:r>
          </w:p>
        </w:tc>
      </w:tr>
    </w:tbl>
    <w:p>
      <w:pPr>
        <w:rPr>
          <w:rFonts w:hint="eastAsia" w:ascii="楷体_GB2312" w:hAnsi="楷体_GB2312" w:eastAsia="楷体_GB2312" w:cs="楷体_GB2312"/>
          <w:bCs/>
          <w:kern w:val="0"/>
          <w:sz w:val="24"/>
          <w:szCs w:val="24"/>
        </w:rPr>
      </w:pPr>
      <w:r>
        <w:rPr>
          <w:rFonts w:hint="eastAsia" w:ascii="楷体_GB2312" w:hAnsi="楷体_GB2312" w:eastAsia="楷体_GB2312" w:cs="楷体_GB2312"/>
          <w:bCs/>
          <w:sz w:val="24"/>
          <w:szCs w:val="24"/>
        </w:rPr>
        <w:t>注：1.本表列出了使用单位每年对燃气燃烧器进行年度检查的</w:t>
      </w:r>
      <w:r>
        <w:rPr>
          <w:rFonts w:hint="eastAsia" w:ascii="楷体_GB2312" w:hAnsi="楷体_GB2312" w:eastAsia="楷体_GB2312" w:cs="楷体_GB2312"/>
          <w:bCs/>
          <w:kern w:val="0"/>
          <w:sz w:val="24"/>
          <w:szCs w:val="24"/>
        </w:rPr>
        <w:t>主要内容。各使用单位应履行主体责任，在本表基础上，结合所使用燃烧器情况制定针对性的检查方案。</w:t>
      </w:r>
    </w:p>
    <w:p>
      <w:pPr>
        <w:rPr>
          <w:rFonts w:ascii="方正仿宋_GB2312" w:hAnsi="方正仿宋_GB2312" w:eastAsia="方正仿宋_GB2312" w:cs="方正仿宋_GB2312"/>
          <w:sz w:val="32"/>
          <w:szCs w:val="32"/>
        </w:rPr>
        <w:sectPr>
          <w:pgSz w:w="16838" w:h="11906" w:orient="landscape"/>
          <w:pgMar w:top="1587" w:right="2098" w:bottom="1474" w:left="1984" w:header="851" w:footer="992" w:gutter="0"/>
          <w:cols w:space="720" w:num="1"/>
          <w:docGrid w:type="lines" w:linePitch="315" w:charSpace="0"/>
        </w:sectPr>
      </w:pPr>
      <w:r>
        <w:rPr>
          <w:rFonts w:hint="eastAsia" w:ascii="楷体_GB2312" w:hAnsi="楷体_GB2312" w:eastAsia="楷体_GB2312" w:cs="楷体_GB2312"/>
          <w:bCs/>
          <w:sz w:val="24"/>
          <w:szCs w:val="24"/>
        </w:rPr>
        <w:t xml:space="preserve">    2.上述内容主要来自TSG G11-2020《锅炉安全技术规程》以及GB/T36699-2018《锅炉用液体和气体燃料燃烧器技术条件》附录H在用检测项目。</w:t>
      </w:r>
    </w:p>
    <w:p>
      <w:pPr>
        <w:tabs>
          <w:tab w:val="left" w:pos="7513"/>
        </w:tabs>
        <w:spacing w:line="560" w:lineRule="exact"/>
        <w:rPr>
          <w:rFonts w:ascii="Times New Roman" w:hAnsi="Times New Roman"/>
        </w:rPr>
      </w:pPr>
    </w:p>
    <w:p/>
    <w:sectPr>
      <w:footerReference r:id="rId3" w:type="default"/>
      <w:footerReference r:id="rId4" w:type="even"/>
      <w:pgSz w:w="11906" w:h="16838"/>
      <w:pgMar w:top="2098" w:right="1474" w:bottom="1985" w:left="1588" w:header="851" w:footer="1588"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方正仿宋_GB2312">
    <w:altName w:val="Arial Unicode MS"/>
    <w:panose1 w:val="02000000000000000000"/>
    <w:charset w:val="00"/>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方正公文小标宋">
    <w:altName w:val="微软雅黑"/>
    <w:panose1 w:val="02000500000000000000"/>
    <w:charset w:val="00"/>
    <w:family w:val="auto"/>
    <w:pitch w:val="default"/>
    <w:sig w:usb0="00000000" w:usb1="00000000"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rPr>
    </w:pPr>
    <w:r>
      <w:fldChar w:fldCharType="begin"/>
    </w:r>
    <w:r>
      <w:rPr>
        <w:rStyle w:val="5"/>
      </w:rPr>
      <w:instrText xml:space="preserve">PAGE  </w:instrText>
    </w:r>
    <w:r>
      <w:fldChar w:fldCharType="end"/>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432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ascii="Times New Roman" w:hAnsi="Times New Roman"/>
      <w:sz w:val="18"/>
      <w:szCs w:val="18"/>
    </w:rPr>
  </w:style>
  <w:style w:type="character" w:styleId="5">
    <w:name w:val="page numb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2022-09-16T02:37:36Z</dcterms:created>
  <dc:creator>dell</dc:creator>
  <cp:lastModifiedBy>袁鹏程</cp:lastModifiedBy>
  <dcterms:modified xsi:type="dcterms:W3CDTF">2022-09-16T02:41:51Z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3E012BF4223F45F88FF81FFE6F414349</vt:lpwstr>
  </property>
</Properties>
</file>