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A32" w:rsidRDefault="00922A32">
      <w:pPr>
        <w:spacing w:line="360" w:lineRule="auto"/>
        <w:jc w:val="both"/>
        <w:rPr>
          <w:rFonts w:asciiTheme="minorEastAsia" w:eastAsiaTheme="minorEastAsia" w:hAnsiTheme="minorEastAsia"/>
          <w:color w:val="000000" w:themeColor="text1"/>
          <w:sz w:val="48"/>
          <w:szCs w:val="48"/>
        </w:rPr>
      </w:pPr>
    </w:p>
    <w:p w:rsidR="00922A32" w:rsidRDefault="00E64766">
      <w:pPr>
        <w:spacing w:line="620" w:lineRule="exact"/>
        <w:jc w:val="center"/>
        <w:rPr>
          <w:rFonts w:ascii="方正小标宋简体" w:eastAsia="方正小标宋简体" w:hAnsi="方正小标宋简体" w:cs="方正小标宋简体"/>
          <w:bCs/>
          <w:color w:val="000000" w:themeColor="text1"/>
          <w:sz w:val="44"/>
          <w:szCs w:val="44"/>
        </w:rPr>
      </w:pPr>
      <w:r>
        <w:rPr>
          <w:rFonts w:ascii="方正小标宋简体" w:eastAsia="方正小标宋简体" w:hAnsi="方正小标宋简体" w:cs="方正小标宋简体" w:hint="eastAsia"/>
          <w:bCs/>
          <w:color w:val="000000" w:themeColor="text1"/>
          <w:sz w:val="44"/>
          <w:szCs w:val="44"/>
        </w:rPr>
        <w:t>天津永生伟业建材有限公司“5</w:t>
      </w:r>
      <w:r>
        <w:rPr>
          <w:rFonts w:ascii="宋体" w:eastAsia="宋体" w:hAnsi="宋体" w:cs="宋体" w:hint="eastAsia"/>
          <w:bCs/>
          <w:color w:val="000000" w:themeColor="text1"/>
          <w:sz w:val="44"/>
          <w:szCs w:val="44"/>
        </w:rPr>
        <w:t>•</w:t>
      </w:r>
      <w:r>
        <w:rPr>
          <w:rFonts w:ascii="方正小标宋简体" w:eastAsia="方正小标宋简体" w:hAnsi="方正小标宋简体" w:cs="方正小标宋简体" w:hint="eastAsia"/>
          <w:bCs/>
          <w:color w:val="000000" w:themeColor="text1"/>
          <w:sz w:val="44"/>
          <w:szCs w:val="44"/>
        </w:rPr>
        <w:t>29”</w:t>
      </w:r>
    </w:p>
    <w:p w:rsidR="00922A32" w:rsidRDefault="00E64766">
      <w:pPr>
        <w:spacing w:line="62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bCs/>
          <w:color w:val="000000" w:themeColor="text1"/>
          <w:sz w:val="44"/>
          <w:szCs w:val="44"/>
        </w:rPr>
        <w:t>一般起重机械相关事故调查报告</w:t>
      </w:r>
    </w:p>
    <w:p w:rsidR="00922A32" w:rsidRDefault="00922A32">
      <w:pPr>
        <w:spacing w:line="360" w:lineRule="auto"/>
        <w:ind w:firstLine="883"/>
        <w:jc w:val="center"/>
        <w:rPr>
          <w:rFonts w:ascii="方正小标宋简体" w:eastAsia="方正小标宋简体" w:hAnsi="方正小标宋简体" w:cs="方正小标宋简体"/>
          <w:color w:val="000000" w:themeColor="text1"/>
          <w:sz w:val="44"/>
          <w:szCs w:val="44"/>
        </w:rPr>
      </w:pPr>
    </w:p>
    <w:p w:rsidR="00922A32" w:rsidRDefault="00922A32">
      <w:pPr>
        <w:spacing w:line="360" w:lineRule="auto"/>
        <w:ind w:firstLine="883"/>
        <w:jc w:val="center"/>
        <w:rPr>
          <w:rFonts w:ascii="方正小标宋简体" w:eastAsia="方正小标宋简体" w:hAnsi="方正小标宋简体" w:cs="方正小标宋简体"/>
          <w:color w:val="000000" w:themeColor="text1"/>
          <w:sz w:val="44"/>
          <w:szCs w:val="44"/>
        </w:rPr>
      </w:pPr>
    </w:p>
    <w:p w:rsidR="00922A32" w:rsidRDefault="00922A32">
      <w:pPr>
        <w:spacing w:line="360" w:lineRule="auto"/>
        <w:ind w:firstLine="883"/>
        <w:jc w:val="center"/>
        <w:rPr>
          <w:rFonts w:ascii="方正小标宋简体" w:eastAsia="方正小标宋简体" w:hAnsi="方正小标宋简体" w:cs="方正小标宋简体"/>
          <w:color w:val="000000" w:themeColor="text1"/>
          <w:sz w:val="44"/>
          <w:szCs w:val="44"/>
        </w:rPr>
      </w:pPr>
    </w:p>
    <w:p w:rsidR="00922A32" w:rsidRDefault="00922A32">
      <w:pPr>
        <w:spacing w:line="360" w:lineRule="auto"/>
        <w:ind w:firstLine="883"/>
        <w:jc w:val="both"/>
        <w:rPr>
          <w:rFonts w:ascii="方正小标宋简体" w:eastAsia="方正小标宋简体" w:hAnsi="方正小标宋简体" w:cs="方正小标宋简体"/>
          <w:color w:val="000000" w:themeColor="text1"/>
          <w:sz w:val="44"/>
          <w:szCs w:val="44"/>
        </w:rPr>
      </w:pPr>
    </w:p>
    <w:p w:rsidR="00922A32" w:rsidRDefault="00922A32">
      <w:pPr>
        <w:spacing w:line="360" w:lineRule="auto"/>
        <w:ind w:firstLine="482"/>
        <w:jc w:val="center"/>
        <w:rPr>
          <w:rFonts w:ascii="方正小标宋简体" w:eastAsia="方正小标宋简体" w:hAnsi="方正小标宋简体" w:cs="方正小标宋简体"/>
          <w:color w:val="000000" w:themeColor="text1"/>
          <w:sz w:val="24"/>
          <w:szCs w:val="24"/>
        </w:rPr>
      </w:pPr>
    </w:p>
    <w:p w:rsidR="00922A32" w:rsidRDefault="00922A32">
      <w:pPr>
        <w:rPr>
          <w:color w:val="000000" w:themeColor="text1"/>
        </w:rPr>
      </w:pPr>
    </w:p>
    <w:p w:rsidR="00922A32" w:rsidRDefault="00E64766">
      <w:pPr>
        <w:widowControl w:val="0"/>
        <w:adjustRightInd/>
        <w:snapToGrid/>
        <w:spacing w:line="620" w:lineRule="exact"/>
        <w:jc w:val="center"/>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天津永生伟业建材有限公司“5</w:t>
      </w:r>
      <w:r w:rsidR="000824E4" w:rsidRPr="000824E4">
        <w:rPr>
          <w:rFonts w:ascii="宋体" w:eastAsia="宋体" w:hAnsi="宋体" w:cs="宋体" w:hint="eastAsia"/>
          <w:bCs/>
          <w:color w:val="000000" w:themeColor="text1"/>
          <w:sz w:val="30"/>
          <w:szCs w:val="30"/>
        </w:rPr>
        <w:t>•</w:t>
      </w:r>
      <w:r>
        <w:rPr>
          <w:rFonts w:ascii="仿宋_GB2312" w:eastAsia="仿宋_GB2312" w:hAnsi="仿宋_GB2312" w:cs="仿宋_GB2312" w:hint="eastAsia"/>
          <w:color w:val="000000" w:themeColor="text1"/>
          <w:sz w:val="32"/>
          <w:szCs w:val="32"/>
          <w:shd w:val="clear" w:color="auto" w:fill="FFFFFF"/>
        </w:rPr>
        <w:t>29”</w:t>
      </w:r>
    </w:p>
    <w:p w:rsidR="00922A32" w:rsidRDefault="00E64766">
      <w:pPr>
        <w:widowControl w:val="0"/>
        <w:adjustRightInd/>
        <w:snapToGrid/>
        <w:spacing w:line="620" w:lineRule="exact"/>
        <w:jc w:val="center"/>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一般起重机械相关事故调查组</w:t>
      </w:r>
    </w:p>
    <w:p w:rsidR="00922A32" w:rsidRDefault="00E64766">
      <w:pPr>
        <w:widowControl w:val="0"/>
        <w:adjustRightInd/>
        <w:snapToGrid/>
        <w:spacing w:line="360" w:lineRule="auto"/>
        <w:jc w:val="center"/>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2024年8月</w:t>
      </w:r>
    </w:p>
    <w:p w:rsidR="00922A32" w:rsidRDefault="00922A32">
      <w:pPr>
        <w:spacing w:line="360" w:lineRule="auto"/>
        <w:ind w:firstLine="883"/>
        <w:jc w:val="center"/>
        <w:rPr>
          <w:rFonts w:ascii="方正小标宋简体" w:eastAsia="方正小标宋简体" w:hAnsi="方正小标宋简体" w:cs="方正小标宋简体"/>
          <w:color w:val="000000" w:themeColor="text1"/>
          <w:sz w:val="44"/>
          <w:szCs w:val="44"/>
        </w:rPr>
        <w:sectPr w:rsidR="00922A32">
          <w:footnotePr>
            <w:numRestart w:val="eachPage"/>
          </w:footnotePr>
          <w:pgSz w:w="11906" w:h="16838"/>
          <w:pgMar w:top="1440" w:right="1800" w:bottom="1440" w:left="1800" w:header="708" w:footer="708" w:gutter="0"/>
          <w:cols w:space="708"/>
          <w:docGrid w:type="lines" w:linePitch="360"/>
        </w:sectPr>
      </w:pPr>
    </w:p>
    <w:p w:rsidR="00922A32" w:rsidRDefault="00E64766">
      <w:pPr>
        <w:pStyle w:val="WPSOffice1"/>
        <w:tabs>
          <w:tab w:val="right" w:leader="dot" w:pos="8306"/>
        </w:tabs>
        <w:adjustRightInd w:val="0"/>
        <w:snapToGrid w:val="0"/>
        <w:spacing w:line="360" w:lineRule="auto"/>
        <w:jc w:val="center"/>
        <w:rPr>
          <w:rFonts w:ascii="黑体" w:eastAsia="黑体" w:hAnsi="黑体" w:cs="黑体"/>
          <w:color w:val="000000" w:themeColor="text1"/>
          <w:sz w:val="36"/>
          <w:szCs w:val="36"/>
        </w:rPr>
      </w:pPr>
      <w:bookmarkStart w:id="0" w:name="_Toc11771"/>
      <w:bookmarkStart w:id="1" w:name="_Toc29523"/>
      <w:bookmarkStart w:id="2" w:name="_Toc10968"/>
      <w:bookmarkStart w:id="3" w:name="_Toc20270"/>
      <w:bookmarkStart w:id="4" w:name="_Toc6810"/>
      <w:bookmarkStart w:id="5" w:name="_Toc5311_WPSOffice_Type1"/>
      <w:r>
        <w:rPr>
          <w:rFonts w:ascii="黑体" w:eastAsia="黑体" w:hAnsi="黑体" w:cs="黑体" w:hint="eastAsia"/>
          <w:color w:val="000000" w:themeColor="text1"/>
          <w:sz w:val="36"/>
          <w:szCs w:val="36"/>
        </w:rPr>
        <w:lastRenderedPageBreak/>
        <w:t>目  录</w:t>
      </w:r>
      <w:bookmarkEnd w:id="0"/>
      <w:bookmarkEnd w:id="1"/>
      <w:bookmarkEnd w:id="2"/>
      <w:bookmarkEnd w:id="3"/>
      <w:bookmarkEnd w:id="4"/>
    </w:p>
    <w:p w:rsidR="00922A32" w:rsidRDefault="00922A32">
      <w:pPr>
        <w:pStyle w:val="WPSOffice1"/>
        <w:tabs>
          <w:tab w:val="right" w:leader="dot" w:pos="8306"/>
        </w:tabs>
        <w:adjustRightInd w:val="0"/>
        <w:snapToGrid w:val="0"/>
        <w:spacing w:line="360" w:lineRule="auto"/>
        <w:jc w:val="center"/>
        <w:rPr>
          <w:rFonts w:ascii="仿宋_GB2312" w:eastAsia="仿宋_GB2312" w:hAnsi="仿宋_GB2312" w:cs="仿宋_GB2312"/>
          <w:color w:val="000000" w:themeColor="text1"/>
          <w:sz w:val="32"/>
          <w:szCs w:val="32"/>
        </w:rPr>
      </w:pPr>
    </w:p>
    <w:bookmarkStart w:id="6" w:name="_Toc3186_WPSOffice_Level1"/>
    <w:bookmarkEnd w:id="5"/>
    <w:p w:rsidR="00922A32" w:rsidRDefault="00E64766">
      <w:pPr>
        <w:pStyle w:val="21"/>
        <w:tabs>
          <w:tab w:val="right" w:leader="dot" w:pos="8296"/>
        </w:tabs>
        <w:ind w:left="440"/>
        <w:rPr>
          <w:rFonts w:asciiTheme="minorHAnsi" w:eastAsiaTheme="minorEastAsia" w:hAnsiTheme="minorHAnsi"/>
          <w:kern w:val="2"/>
          <w:sz w:val="21"/>
        </w:rPr>
      </w:pPr>
      <w:r>
        <w:rPr>
          <w:rFonts w:ascii="仿宋_GB2312" w:eastAsia="仿宋_GB2312" w:hAnsi="仿宋_GB2312" w:cs="仿宋_GB2312" w:hint="eastAsia"/>
          <w:color w:val="000000" w:themeColor="text1"/>
          <w:sz w:val="24"/>
          <w:szCs w:val="24"/>
        </w:rPr>
        <w:fldChar w:fldCharType="begin"/>
      </w:r>
      <w:r>
        <w:rPr>
          <w:rFonts w:ascii="仿宋_GB2312" w:eastAsia="仿宋_GB2312" w:hAnsi="仿宋_GB2312" w:cs="仿宋_GB2312" w:hint="eastAsia"/>
          <w:color w:val="000000" w:themeColor="text1"/>
          <w:sz w:val="24"/>
          <w:szCs w:val="24"/>
        </w:rPr>
        <w:instrText xml:space="preserve"> TOC \o "1-3" \h \z \u </w:instrText>
      </w:r>
      <w:r>
        <w:rPr>
          <w:rFonts w:ascii="仿宋_GB2312" w:eastAsia="仿宋_GB2312" w:hAnsi="仿宋_GB2312" w:cs="仿宋_GB2312" w:hint="eastAsia"/>
          <w:color w:val="000000" w:themeColor="text1"/>
          <w:sz w:val="24"/>
          <w:szCs w:val="24"/>
        </w:rPr>
        <w:fldChar w:fldCharType="separate"/>
      </w:r>
      <w:hyperlink w:anchor="_Toc173997424" w:history="1">
        <w:r>
          <w:rPr>
            <w:rStyle w:val="aa"/>
            <w:rFonts w:hint="eastAsia"/>
          </w:rPr>
          <w:t>一、事故基本情况</w:t>
        </w:r>
        <w:r>
          <w:tab/>
        </w:r>
        <w:r>
          <w:fldChar w:fldCharType="begin"/>
        </w:r>
        <w:r>
          <w:instrText xml:space="preserve"> PAGEREF _Toc173997424 \h </w:instrText>
        </w:r>
        <w:r>
          <w:fldChar w:fldCharType="separate"/>
        </w:r>
        <w:r>
          <w:t>2</w:t>
        </w:r>
        <w:r>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25" w:history="1">
        <w:r w:rsidR="00E64766">
          <w:rPr>
            <w:rStyle w:val="aa"/>
            <w:rFonts w:ascii="楷体_GB2312" w:eastAsia="楷体_GB2312" w:hAnsi="楷体_GB2312" w:cs="楷体_GB2312" w:hint="eastAsia"/>
            <w:b/>
            <w:bCs/>
          </w:rPr>
          <w:t>（一）事故单位</w:t>
        </w:r>
        <w:r w:rsidR="00E64766">
          <w:tab/>
        </w:r>
        <w:r w:rsidR="00E64766">
          <w:fldChar w:fldCharType="begin"/>
        </w:r>
        <w:r w:rsidR="00E64766">
          <w:instrText xml:space="preserve"> PAGEREF _Toc173997425 \h </w:instrText>
        </w:r>
        <w:r w:rsidR="00E64766">
          <w:fldChar w:fldCharType="separate"/>
        </w:r>
        <w:r w:rsidR="00E64766">
          <w:t>2</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26" w:history="1">
        <w:r w:rsidR="00E64766">
          <w:rPr>
            <w:rStyle w:val="aa"/>
            <w:rFonts w:ascii="楷体_GB2312" w:eastAsia="楷体_GB2312" w:hAnsi="楷体_GB2312" w:cs="楷体_GB2312" w:hint="eastAsia"/>
            <w:b/>
            <w:bCs/>
          </w:rPr>
          <w:t>（二）涉事设备及相关人员情况</w:t>
        </w:r>
        <w:r w:rsidR="00E64766">
          <w:tab/>
        </w:r>
        <w:r w:rsidR="00E64766">
          <w:fldChar w:fldCharType="begin"/>
        </w:r>
        <w:r w:rsidR="00E64766">
          <w:instrText xml:space="preserve"> PAGEREF _Toc173997426 \h </w:instrText>
        </w:r>
        <w:r w:rsidR="00E64766">
          <w:fldChar w:fldCharType="separate"/>
        </w:r>
        <w:r w:rsidR="00E64766">
          <w:t>2</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27" w:history="1">
        <w:r w:rsidR="00E64766">
          <w:rPr>
            <w:rStyle w:val="aa"/>
            <w:rFonts w:hint="eastAsia"/>
          </w:rPr>
          <w:t>二、事故发生过程、应急处置及善后赔偿情况</w:t>
        </w:r>
        <w:r w:rsidR="00E64766">
          <w:tab/>
        </w:r>
        <w:r w:rsidR="00E64766">
          <w:fldChar w:fldCharType="begin"/>
        </w:r>
        <w:r w:rsidR="00E64766">
          <w:instrText xml:space="preserve"> PAGEREF _Toc173997427 \h </w:instrText>
        </w:r>
        <w:r w:rsidR="00E64766">
          <w:fldChar w:fldCharType="separate"/>
        </w:r>
        <w:r w:rsidR="00E64766">
          <w:t>4</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28" w:history="1">
        <w:r w:rsidR="00E64766">
          <w:rPr>
            <w:rStyle w:val="aa"/>
            <w:rFonts w:ascii="楷体_GB2312" w:eastAsia="楷体_GB2312" w:hAnsi="楷体_GB2312" w:cs="楷体_GB2312" w:hint="eastAsia"/>
            <w:b/>
            <w:bCs/>
          </w:rPr>
          <w:t>（一）事故发生过程</w:t>
        </w:r>
        <w:r w:rsidR="00E64766">
          <w:tab/>
        </w:r>
        <w:r w:rsidR="00E64766">
          <w:fldChar w:fldCharType="begin"/>
        </w:r>
        <w:r w:rsidR="00E64766">
          <w:instrText xml:space="preserve"> PAGEREF _Toc173997428 \h </w:instrText>
        </w:r>
        <w:r w:rsidR="00E64766">
          <w:fldChar w:fldCharType="separate"/>
        </w:r>
        <w:r w:rsidR="00E64766">
          <w:t>4</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29" w:history="1">
        <w:r w:rsidR="00E64766">
          <w:rPr>
            <w:rStyle w:val="aa"/>
            <w:rFonts w:ascii="楷体_GB2312" w:eastAsia="楷体_GB2312" w:hAnsi="楷体_GB2312" w:cs="楷体_GB2312" w:hint="eastAsia"/>
            <w:b/>
            <w:bCs/>
          </w:rPr>
          <w:t>（二）应急处置情况</w:t>
        </w:r>
        <w:r w:rsidR="00E64766">
          <w:tab/>
        </w:r>
        <w:r w:rsidR="00E64766">
          <w:fldChar w:fldCharType="begin"/>
        </w:r>
        <w:r w:rsidR="00E64766">
          <w:instrText xml:space="preserve"> PAGEREF _Toc173997429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0" w:history="1">
        <w:r w:rsidR="00E64766">
          <w:rPr>
            <w:rStyle w:val="aa"/>
            <w:rFonts w:ascii="楷体_GB2312" w:eastAsia="楷体_GB2312" w:hAnsi="楷体_GB2312" w:cs="楷体_GB2312" w:hint="eastAsia"/>
            <w:b/>
            <w:bCs/>
          </w:rPr>
          <w:t>（三）善后赔偿情况</w:t>
        </w:r>
        <w:r w:rsidR="00E64766">
          <w:tab/>
        </w:r>
        <w:r w:rsidR="00E64766">
          <w:fldChar w:fldCharType="begin"/>
        </w:r>
        <w:r w:rsidR="00E64766">
          <w:instrText xml:space="preserve"> PAGEREF _Toc173997430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1" w:history="1">
        <w:r w:rsidR="00E64766">
          <w:rPr>
            <w:rStyle w:val="aa"/>
            <w:rFonts w:hint="eastAsia"/>
          </w:rPr>
          <w:t>三、人员伤亡及直接经济损失</w:t>
        </w:r>
        <w:r w:rsidR="00E64766">
          <w:tab/>
        </w:r>
        <w:r w:rsidR="00E64766">
          <w:fldChar w:fldCharType="begin"/>
        </w:r>
        <w:r w:rsidR="00E64766">
          <w:instrText xml:space="preserve"> PAGEREF _Toc173997431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2" w:history="1">
        <w:r w:rsidR="00E64766">
          <w:rPr>
            <w:rStyle w:val="aa"/>
            <w:rFonts w:ascii="楷体_GB2312" w:eastAsia="楷体_GB2312" w:hAnsi="楷体_GB2312" w:cs="楷体_GB2312" w:hint="eastAsia"/>
            <w:b/>
            <w:bCs/>
          </w:rPr>
          <w:t>（一）人员伤亡情况</w:t>
        </w:r>
        <w:r w:rsidR="00E64766">
          <w:tab/>
        </w:r>
        <w:r w:rsidR="00E64766">
          <w:fldChar w:fldCharType="begin"/>
        </w:r>
        <w:r w:rsidR="00E64766">
          <w:instrText xml:space="preserve"> PAGEREF _Toc173997432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3" w:history="1">
        <w:r w:rsidR="00E64766">
          <w:rPr>
            <w:rStyle w:val="aa"/>
            <w:rFonts w:ascii="楷体_GB2312" w:eastAsia="楷体_GB2312" w:hAnsi="楷体_GB2312" w:cs="楷体_GB2312" w:hint="eastAsia"/>
            <w:b/>
            <w:bCs/>
          </w:rPr>
          <w:t>（二）直接经济损失</w:t>
        </w:r>
        <w:r w:rsidR="00E64766">
          <w:tab/>
        </w:r>
        <w:r w:rsidR="00E64766">
          <w:fldChar w:fldCharType="begin"/>
        </w:r>
        <w:r w:rsidR="00E64766">
          <w:instrText xml:space="preserve"> PAGEREF _Toc173997433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4" w:history="1">
        <w:r w:rsidR="00E64766">
          <w:rPr>
            <w:rStyle w:val="aa"/>
            <w:rFonts w:hint="eastAsia"/>
          </w:rPr>
          <w:t>四、事故原因及性质</w:t>
        </w:r>
        <w:r w:rsidR="00E64766">
          <w:tab/>
        </w:r>
        <w:r w:rsidR="00E64766">
          <w:fldChar w:fldCharType="begin"/>
        </w:r>
        <w:r w:rsidR="00E64766">
          <w:instrText xml:space="preserve"> PAGEREF _Toc173997434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5" w:history="1">
        <w:r w:rsidR="00E64766">
          <w:rPr>
            <w:rStyle w:val="aa"/>
            <w:rFonts w:ascii="楷体_GB2312" w:eastAsia="楷体_GB2312" w:hAnsi="楷体_GB2312" w:cs="楷体_GB2312" w:hint="eastAsia"/>
            <w:b/>
            <w:bCs/>
          </w:rPr>
          <w:t>（一）直接原因</w:t>
        </w:r>
        <w:r w:rsidR="00E64766">
          <w:tab/>
        </w:r>
        <w:r w:rsidR="00E64766">
          <w:fldChar w:fldCharType="begin"/>
        </w:r>
        <w:r w:rsidR="00E64766">
          <w:instrText xml:space="preserve"> PAGEREF _Toc173997435 \h </w:instrText>
        </w:r>
        <w:r w:rsidR="00E64766">
          <w:fldChar w:fldCharType="separate"/>
        </w:r>
        <w:r w:rsidR="00E64766">
          <w:t>7</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6" w:history="1">
        <w:r w:rsidR="00E64766">
          <w:rPr>
            <w:rStyle w:val="aa"/>
            <w:rFonts w:ascii="楷体_GB2312" w:eastAsia="楷体_GB2312" w:hAnsi="楷体_GB2312" w:cs="楷体_GB2312" w:hint="eastAsia"/>
            <w:b/>
            <w:bCs/>
          </w:rPr>
          <w:t>（二）间接原因</w:t>
        </w:r>
        <w:r w:rsidR="00E64766">
          <w:tab/>
        </w:r>
        <w:r w:rsidR="00E64766">
          <w:fldChar w:fldCharType="begin"/>
        </w:r>
        <w:r w:rsidR="00E64766">
          <w:instrText xml:space="preserve"> PAGEREF _Toc173997436 \h </w:instrText>
        </w:r>
        <w:r w:rsidR="00E64766">
          <w:fldChar w:fldCharType="separate"/>
        </w:r>
        <w:r w:rsidR="00E64766">
          <w:t>8</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7" w:history="1">
        <w:r w:rsidR="00E64766">
          <w:rPr>
            <w:rStyle w:val="aa"/>
            <w:rFonts w:ascii="楷体_GB2312" w:eastAsia="楷体_GB2312" w:hAnsi="楷体_GB2312" w:cs="楷体_GB2312" w:hint="eastAsia"/>
            <w:b/>
            <w:bCs/>
          </w:rPr>
          <w:t>（三）事故性质</w:t>
        </w:r>
        <w:r w:rsidR="00E64766">
          <w:tab/>
        </w:r>
        <w:r w:rsidR="00E64766">
          <w:fldChar w:fldCharType="begin"/>
        </w:r>
        <w:r w:rsidR="00E64766">
          <w:instrText xml:space="preserve"> PAGEREF _Toc173997437 \h </w:instrText>
        </w:r>
        <w:r w:rsidR="00E64766">
          <w:fldChar w:fldCharType="separate"/>
        </w:r>
        <w:r w:rsidR="00E64766">
          <w:t>8</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8" w:history="1">
        <w:r w:rsidR="00E64766">
          <w:rPr>
            <w:rStyle w:val="aa"/>
            <w:rFonts w:hint="eastAsia"/>
          </w:rPr>
          <w:t>五、责任认定及处理建议</w:t>
        </w:r>
        <w:r w:rsidR="00E64766">
          <w:tab/>
        </w:r>
        <w:r w:rsidR="00E64766">
          <w:fldChar w:fldCharType="begin"/>
        </w:r>
        <w:r w:rsidR="00E64766">
          <w:instrText xml:space="preserve"> PAGEREF _Toc173997438 \h </w:instrText>
        </w:r>
        <w:r w:rsidR="00E64766">
          <w:fldChar w:fldCharType="separate"/>
        </w:r>
        <w:r w:rsidR="00E64766">
          <w:t>9</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39" w:history="1">
        <w:r w:rsidR="00E64766">
          <w:rPr>
            <w:rStyle w:val="aa"/>
            <w:rFonts w:ascii="楷体_GB2312" w:eastAsia="楷体_GB2312" w:hAnsi="楷体_GB2312" w:cs="楷体_GB2312" w:hint="eastAsia"/>
            <w:b/>
            <w:bCs/>
          </w:rPr>
          <w:t>（一）事故责任单位的责任认定及处理建议</w:t>
        </w:r>
        <w:r w:rsidR="00E64766">
          <w:tab/>
        </w:r>
        <w:r w:rsidR="00E64766">
          <w:fldChar w:fldCharType="begin"/>
        </w:r>
        <w:r w:rsidR="00E64766">
          <w:instrText xml:space="preserve"> PAGEREF _Toc173997439 \h </w:instrText>
        </w:r>
        <w:r w:rsidR="00E64766">
          <w:fldChar w:fldCharType="separate"/>
        </w:r>
        <w:r w:rsidR="00E64766">
          <w:t>9</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40" w:history="1">
        <w:r w:rsidR="00E64766">
          <w:rPr>
            <w:rStyle w:val="aa"/>
            <w:rFonts w:ascii="楷体_GB2312" w:eastAsia="楷体_GB2312" w:hAnsi="楷体_GB2312" w:cs="楷体_GB2312" w:hint="eastAsia"/>
            <w:b/>
            <w:bCs/>
          </w:rPr>
          <w:t>（二）事故责任人员的责任认定及处理建议</w:t>
        </w:r>
        <w:r w:rsidR="00E64766">
          <w:tab/>
        </w:r>
        <w:r w:rsidR="00E64766">
          <w:fldChar w:fldCharType="begin"/>
        </w:r>
        <w:r w:rsidR="00E64766">
          <w:instrText xml:space="preserve"> PAGEREF _Toc173997440 \h </w:instrText>
        </w:r>
        <w:r w:rsidR="00E64766">
          <w:fldChar w:fldCharType="separate"/>
        </w:r>
        <w:r w:rsidR="00E64766">
          <w:t>9</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41" w:history="1">
        <w:r w:rsidR="00E64766">
          <w:rPr>
            <w:rStyle w:val="aa"/>
            <w:rFonts w:hint="eastAsia"/>
          </w:rPr>
          <w:t>六、事故防范和整改措施</w:t>
        </w:r>
        <w:r w:rsidR="00E64766">
          <w:tab/>
        </w:r>
        <w:r w:rsidR="00E64766">
          <w:fldChar w:fldCharType="begin"/>
        </w:r>
        <w:r w:rsidR="00E64766">
          <w:instrText xml:space="preserve"> PAGEREF _Toc173997441 \h </w:instrText>
        </w:r>
        <w:r w:rsidR="00E64766">
          <w:fldChar w:fldCharType="separate"/>
        </w:r>
        <w:r w:rsidR="00E64766">
          <w:t>11</w:t>
        </w:r>
        <w:r w:rsidR="00E64766">
          <w:fldChar w:fldCharType="end"/>
        </w:r>
      </w:hyperlink>
    </w:p>
    <w:p w:rsidR="00922A32" w:rsidRDefault="009D2F61">
      <w:pPr>
        <w:pStyle w:val="21"/>
        <w:tabs>
          <w:tab w:val="right" w:leader="dot" w:pos="8296"/>
        </w:tabs>
        <w:ind w:left="440"/>
        <w:rPr>
          <w:rFonts w:asciiTheme="minorHAnsi" w:eastAsiaTheme="minorEastAsia" w:hAnsiTheme="minorHAnsi"/>
          <w:kern w:val="2"/>
          <w:sz w:val="21"/>
        </w:rPr>
      </w:pPr>
      <w:hyperlink w:anchor="_Toc173997442" w:history="1">
        <w:r w:rsidR="00E64766">
          <w:rPr>
            <w:rStyle w:val="aa"/>
            <w:rFonts w:ascii="仿宋_GB2312" w:eastAsia="仿宋_GB2312" w:hAnsi="仿宋_GB2312" w:cs="仿宋_GB2312" w:hint="eastAsia"/>
            <w:b/>
          </w:rPr>
          <w:t>永生伟业公司</w:t>
        </w:r>
        <w:r w:rsidR="00E64766">
          <w:tab/>
        </w:r>
        <w:r w:rsidR="00E64766">
          <w:fldChar w:fldCharType="begin"/>
        </w:r>
        <w:r w:rsidR="00E64766">
          <w:instrText xml:space="preserve"> PAGEREF _Toc173997442 \h </w:instrText>
        </w:r>
        <w:r w:rsidR="00E64766">
          <w:fldChar w:fldCharType="separate"/>
        </w:r>
        <w:r w:rsidR="00E64766">
          <w:t>11</w:t>
        </w:r>
        <w:r w:rsidR="00E64766">
          <w:fldChar w:fldCharType="end"/>
        </w:r>
      </w:hyperlink>
    </w:p>
    <w:p w:rsidR="00922A32" w:rsidRDefault="00E64766">
      <w:pPr>
        <w:tabs>
          <w:tab w:val="left" w:pos="5171"/>
        </w:tabs>
        <w:spacing w:line="360" w:lineRule="auto"/>
        <w:rPr>
          <w:rFonts w:ascii="仿宋_GB2312" w:eastAsia="仿宋_GB2312" w:hAnsi="仿宋_GB2312" w:cs="仿宋_GB2312"/>
          <w:color w:val="000000" w:themeColor="text1"/>
          <w:sz w:val="32"/>
          <w:szCs w:val="32"/>
        </w:rPr>
        <w:sectPr w:rsidR="00922A32">
          <w:footerReference w:type="default" r:id="rId9"/>
          <w:footnotePr>
            <w:numRestart w:val="eachPage"/>
          </w:footnotePr>
          <w:pgSz w:w="11906" w:h="16838"/>
          <w:pgMar w:top="1440" w:right="1800" w:bottom="1440" w:left="1800" w:header="708" w:footer="708" w:gutter="0"/>
          <w:pgNumType w:start="1"/>
          <w:cols w:space="708"/>
          <w:docGrid w:type="lines" w:linePitch="360"/>
        </w:sectPr>
      </w:pPr>
      <w:r>
        <w:rPr>
          <w:rFonts w:ascii="仿宋_GB2312" w:eastAsia="仿宋_GB2312" w:hAnsi="仿宋_GB2312" w:cs="仿宋_GB2312" w:hint="eastAsia"/>
          <w:color w:val="000000" w:themeColor="text1"/>
          <w:szCs w:val="24"/>
        </w:rPr>
        <w:fldChar w:fldCharType="end"/>
      </w:r>
      <w:r>
        <w:rPr>
          <w:rFonts w:ascii="仿宋_GB2312" w:eastAsia="仿宋_GB2312" w:hAnsi="仿宋_GB2312" w:cs="仿宋_GB2312" w:hint="eastAsia"/>
          <w:color w:val="000000" w:themeColor="text1"/>
          <w:sz w:val="24"/>
          <w:szCs w:val="24"/>
        </w:rPr>
        <w:tab/>
      </w:r>
    </w:p>
    <w:bookmarkEnd w:id="6"/>
    <w:p w:rsidR="00922A32" w:rsidRDefault="00E64766">
      <w:pPr>
        <w:spacing w:after="0" w:line="620" w:lineRule="exact"/>
        <w:jc w:val="center"/>
        <w:rPr>
          <w:rFonts w:ascii="方正小标宋简体" w:eastAsia="方正小标宋简体" w:hAnsi="方正小标宋简体" w:cs="方正小标宋简体"/>
          <w:bCs/>
          <w:color w:val="000000" w:themeColor="text1"/>
          <w:sz w:val="44"/>
          <w:szCs w:val="44"/>
        </w:rPr>
      </w:pPr>
      <w:r>
        <w:rPr>
          <w:rFonts w:ascii="方正小标宋简体" w:eastAsia="方正小标宋简体" w:hAnsi="方正小标宋简体" w:cs="方正小标宋简体" w:hint="eastAsia"/>
          <w:bCs/>
          <w:color w:val="000000" w:themeColor="text1"/>
          <w:sz w:val="44"/>
          <w:szCs w:val="44"/>
        </w:rPr>
        <w:lastRenderedPageBreak/>
        <w:t>天津永生伟业建材有限公司“5</w:t>
      </w:r>
      <w:r>
        <w:rPr>
          <w:rFonts w:ascii="宋体" w:eastAsia="宋体" w:hAnsi="宋体" w:cs="宋体" w:hint="eastAsia"/>
          <w:bCs/>
          <w:color w:val="000000" w:themeColor="text1"/>
          <w:sz w:val="44"/>
          <w:szCs w:val="44"/>
        </w:rPr>
        <w:t>•</w:t>
      </w:r>
      <w:r>
        <w:rPr>
          <w:rFonts w:ascii="方正小标宋简体" w:eastAsia="方正小标宋简体" w:hAnsi="方正小标宋简体" w:cs="方正小标宋简体" w:hint="eastAsia"/>
          <w:bCs/>
          <w:color w:val="000000" w:themeColor="text1"/>
          <w:sz w:val="44"/>
          <w:szCs w:val="44"/>
        </w:rPr>
        <w:t>29”</w:t>
      </w:r>
    </w:p>
    <w:p w:rsidR="00922A32" w:rsidRDefault="00E64766">
      <w:pPr>
        <w:spacing w:after="0" w:line="620" w:lineRule="exact"/>
        <w:jc w:val="center"/>
        <w:rPr>
          <w:rFonts w:ascii="方正小标宋简体" w:eastAsia="方正小标宋简体" w:hAnsi="方正小标宋简体" w:cs="方正小标宋简体"/>
          <w:bCs/>
          <w:color w:val="000000" w:themeColor="text1"/>
          <w:sz w:val="44"/>
          <w:szCs w:val="44"/>
        </w:rPr>
      </w:pPr>
      <w:r>
        <w:rPr>
          <w:rFonts w:ascii="方正小标宋简体" w:eastAsia="方正小标宋简体" w:hAnsi="方正小标宋简体" w:cs="方正小标宋简体" w:hint="eastAsia"/>
          <w:bCs/>
          <w:color w:val="000000" w:themeColor="text1"/>
          <w:sz w:val="44"/>
          <w:szCs w:val="44"/>
        </w:rPr>
        <w:t>一般起重机械相关事故调查报告</w:t>
      </w:r>
    </w:p>
    <w:p w:rsidR="00922A32" w:rsidRDefault="00922A32">
      <w:pPr>
        <w:pStyle w:val="2"/>
        <w:ind w:left="440"/>
        <w:rPr>
          <w:color w:val="000000" w:themeColor="text1"/>
        </w:rPr>
      </w:pP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2024年5月29日11时50分许，位于滨海新区太平镇远景二村的天津永生伟业建材有限公司露天成品堆场内发生一起高处坠落的亡人事故。死者张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（男，39岁，河南泌阳人，身份证号：41282219</w:t>
      </w:r>
      <w:r w:rsidR="009D2F61">
        <w:rPr>
          <w:rFonts w:ascii="仿宋_GB2312" w:eastAsia="仿宋_GB2312" w:hAnsi="仿宋_GB2312" w:cs="仿宋_GB2312" w:hint="eastAsia"/>
          <w:color w:val="000000" w:themeColor="text1"/>
          <w:sz w:val="32"/>
          <w:szCs w:val="32"/>
        </w:rPr>
        <w:t>******</w:t>
      </w:r>
      <w:bookmarkStart w:id="7" w:name="_GoBack"/>
      <w:bookmarkEnd w:id="7"/>
      <w:r>
        <w:rPr>
          <w:rFonts w:ascii="仿宋_GB2312" w:eastAsia="仿宋_GB2312" w:hAnsi="仿宋_GB2312" w:cs="仿宋_GB2312" w:hint="eastAsia"/>
          <w:color w:val="000000" w:themeColor="text1"/>
          <w:sz w:val="32"/>
          <w:szCs w:val="32"/>
        </w:rPr>
        <w:t>0030），系天津永生伟业建材有限公司起重机司机，在翻越桥式起重机护栏和平台护栏时坠落（距离地面约6米），送医后不治身亡。直接经济损失167.94万元。</w:t>
      </w: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根据《中华人民共和国安全生产法》《中华人民共和国特种设备安全法》《特种设备安全监察条例》《特种设备事故报告和调查处理导则》等</w:t>
      </w:r>
      <w:r>
        <w:rPr>
          <w:rFonts w:ascii="仿宋_GB2312" w:eastAsia="仿宋_GB2312" w:hAnsi="仿宋_GB2312" w:cs="仿宋_GB2312" w:hint="eastAsia"/>
          <w:bCs/>
          <w:color w:val="000000" w:themeColor="text1"/>
          <w:sz w:val="32"/>
          <w:szCs w:val="32"/>
        </w:rPr>
        <w:t>有关法律法规、规章规定，经报请滨海新区人民政府批准，成立了由区市场监管局、区应急局、区公安局、区总工会等部门</w:t>
      </w:r>
      <w:r>
        <w:rPr>
          <w:rFonts w:ascii="仿宋_GB2312" w:eastAsia="仿宋_GB2312" w:hAnsi="仿宋_GB2312" w:cs="仿宋_GB2312" w:hint="eastAsia"/>
          <w:color w:val="000000" w:themeColor="text1"/>
          <w:sz w:val="32"/>
          <w:szCs w:val="32"/>
        </w:rPr>
        <w:t>组成</w:t>
      </w:r>
      <w:r>
        <w:rPr>
          <w:rFonts w:ascii="仿宋_GB2312" w:eastAsia="仿宋_GB2312" w:hAnsi="仿宋_GB2312" w:cs="仿宋_GB2312" w:hint="eastAsia"/>
          <w:bCs/>
          <w:color w:val="000000" w:themeColor="text1"/>
          <w:sz w:val="32"/>
          <w:szCs w:val="32"/>
        </w:rPr>
        <w:t>的</w:t>
      </w:r>
      <w:r>
        <w:rPr>
          <w:rFonts w:ascii="仿宋_GB2312" w:eastAsia="仿宋_GB2312" w:hAnsi="仿宋_GB2312" w:cs="仿宋_GB2312" w:hint="eastAsia"/>
          <w:color w:val="000000" w:themeColor="text1"/>
          <w:sz w:val="32"/>
          <w:szCs w:val="32"/>
        </w:rPr>
        <w:t>事故调查组</w:t>
      </w:r>
      <w:r>
        <w:rPr>
          <w:rFonts w:ascii="仿宋_GB2312" w:eastAsia="仿宋_GB2312" w:hAnsi="仿宋_GB2312" w:cs="仿宋_GB2312" w:hint="eastAsia"/>
          <w:bCs/>
          <w:color w:val="000000" w:themeColor="text1"/>
          <w:sz w:val="32"/>
          <w:szCs w:val="32"/>
        </w:rPr>
        <w:t>，组织开展事故调查工作。</w:t>
      </w:r>
    </w:p>
    <w:p w:rsidR="00922A32" w:rsidRDefault="00E64766">
      <w:pPr>
        <w:widowControl w:val="0"/>
        <w:tabs>
          <w:tab w:val="left" w:pos="360"/>
        </w:tabs>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事故调查组按照“四不放过”和“科学严谨、依法依规、实事求是、注重实效”的原则，通过现场勘验、调查取证、综合分析，查明了事故发生的经过和原因，认定了事故的性质和责任，提出了对事故单位和责任人员的处理意见和建议，并</w:t>
      </w:r>
      <w:r>
        <w:rPr>
          <w:rFonts w:ascii="仿宋_GB2312" w:eastAsia="仿宋_GB2312" w:hAnsi="仿宋_GB2312" w:cs="仿宋_GB2312" w:hint="eastAsia"/>
          <w:bCs/>
          <w:color w:val="000000" w:themeColor="text1"/>
          <w:sz w:val="32"/>
          <w:szCs w:val="32"/>
          <w:lang w:val="zh-CN"/>
        </w:rPr>
        <w:t>针对事故原因及暴露出的突出问题，提出了</w:t>
      </w:r>
      <w:r>
        <w:rPr>
          <w:rFonts w:ascii="仿宋_GB2312" w:eastAsia="仿宋_GB2312" w:hAnsi="仿宋_GB2312" w:cs="仿宋_GB2312" w:hint="eastAsia"/>
          <w:bCs/>
          <w:color w:val="000000" w:themeColor="text1"/>
          <w:sz w:val="32"/>
          <w:szCs w:val="32"/>
        </w:rPr>
        <w:t>事故防范措施及建议。</w:t>
      </w:r>
      <w:r>
        <w:rPr>
          <w:rFonts w:ascii="仿宋_GB2312" w:eastAsia="仿宋_GB2312" w:hAnsi="仿宋_GB2312" w:cs="仿宋_GB2312" w:hint="eastAsia"/>
          <w:bCs/>
          <w:color w:val="000000" w:themeColor="text1"/>
          <w:sz w:val="32"/>
          <w:szCs w:val="32"/>
        </w:rPr>
        <w:lastRenderedPageBreak/>
        <w:t>现将有关情况报告如下：</w:t>
      </w:r>
    </w:p>
    <w:p w:rsidR="00922A32" w:rsidRDefault="00E64766">
      <w:pPr>
        <w:pStyle w:val="20"/>
        <w:spacing w:line="620" w:lineRule="exact"/>
        <w:rPr>
          <w:b/>
          <w:color w:val="000000" w:themeColor="text1"/>
        </w:rPr>
      </w:pPr>
      <w:bookmarkStart w:id="8" w:name="_Toc16110_WPSOffice_Level1"/>
      <w:bookmarkStart w:id="9" w:name="_Toc1223_WPSOffice_Level1"/>
      <w:bookmarkStart w:id="10" w:name="_Toc173997424"/>
      <w:bookmarkStart w:id="11" w:name="_Toc141372573"/>
      <w:r>
        <w:rPr>
          <w:rFonts w:hint="eastAsia"/>
          <w:color w:val="000000" w:themeColor="text1"/>
        </w:rPr>
        <w:t>一、事故基本情况</w:t>
      </w:r>
      <w:bookmarkStart w:id="12" w:name="_Toc1223_WPSOffice_Level2"/>
      <w:bookmarkEnd w:id="8"/>
      <w:bookmarkEnd w:id="9"/>
      <w:bookmarkEnd w:id="10"/>
      <w:bookmarkEnd w:id="11"/>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13" w:name="_Toc173997425"/>
      <w:r>
        <w:rPr>
          <w:rFonts w:ascii="楷体_GB2312" w:eastAsia="楷体_GB2312" w:hAnsi="楷体_GB2312" w:cs="楷体_GB2312" w:hint="eastAsia"/>
          <w:b/>
          <w:bCs/>
          <w:color w:val="000000" w:themeColor="text1"/>
          <w:sz w:val="32"/>
          <w:szCs w:val="32"/>
        </w:rPr>
        <w:t>（一）事故单位</w:t>
      </w:r>
      <w:bookmarkEnd w:id="12"/>
      <w:bookmarkEnd w:id="13"/>
    </w:p>
    <w:p w:rsidR="00922A32" w:rsidRDefault="00E64766">
      <w:pPr>
        <w:widowControl w:val="0"/>
        <w:spacing w:after="0" w:line="620" w:lineRule="exact"/>
        <w:ind w:firstLineChars="200" w:firstLine="643"/>
        <w:jc w:val="both"/>
        <w:rPr>
          <w:rFonts w:ascii="仿宋_GB2312" w:eastAsia="仿宋_GB2312" w:hAnsi="仿宋_GB2312" w:cs="仿宋_GB2312"/>
          <w:b/>
          <w:color w:val="000000" w:themeColor="text1"/>
          <w:sz w:val="32"/>
          <w:szCs w:val="32"/>
        </w:rPr>
      </w:pPr>
      <w:r>
        <w:rPr>
          <w:rFonts w:ascii="仿宋_GB2312" w:eastAsia="仿宋_GB2312" w:hAnsi="仿宋_GB2312" w:cs="仿宋_GB2312" w:hint="eastAsia"/>
          <w:b/>
          <w:color w:val="000000" w:themeColor="text1"/>
          <w:sz w:val="32"/>
          <w:szCs w:val="32"/>
        </w:rPr>
        <w:t>天津永生伟业建材有限公司（以下简称“永生伟业公司”）</w:t>
      </w: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Cs/>
          <w:color w:val="000000" w:themeColor="text1"/>
          <w:sz w:val="32"/>
          <w:szCs w:val="32"/>
        </w:rPr>
        <w:t>永生伟业公司成立于2009年5月27日，统一社会信用代</w:t>
      </w:r>
      <w:r>
        <w:rPr>
          <w:rFonts w:ascii="仿宋_GB2312" w:eastAsia="仿宋_GB2312" w:hAnsi="仿宋_GB2312" w:cs="仿宋_GB2312" w:hint="eastAsia"/>
          <w:color w:val="000000" w:themeColor="text1"/>
          <w:sz w:val="32"/>
          <w:szCs w:val="32"/>
        </w:rPr>
        <w:t>码：91120116687737251D；法定代表人：吴秀敏；</w:t>
      </w:r>
      <w:r>
        <w:rPr>
          <w:rFonts w:ascii="仿宋_GB2312" w:eastAsia="仿宋_GB2312" w:hAnsi="仿宋_GB2312" w:cs="仿宋_GB2312" w:hint="eastAsia"/>
          <w:color w:val="000000" w:themeColor="text1"/>
          <w:kern w:val="2"/>
          <w:sz w:val="32"/>
          <w:szCs w:val="32"/>
          <w:shd w:val="clear" w:color="auto" w:fill="FFFFFF"/>
        </w:rPr>
        <w:t>注册资本：壹亿伍仟万元人民币</w:t>
      </w:r>
      <w:r>
        <w:rPr>
          <w:rFonts w:ascii="仿宋_GB2312" w:eastAsia="仿宋_GB2312" w:hAnsi="仿宋_GB2312" w:cs="仿宋_GB2312" w:hint="eastAsia"/>
          <w:color w:val="000000" w:themeColor="text1"/>
          <w:sz w:val="32"/>
          <w:szCs w:val="32"/>
        </w:rPr>
        <w:t>；住所：</w:t>
      </w:r>
      <w:bookmarkStart w:id="14" w:name="_Toc20528_WPSOffice_Level2"/>
      <w:r>
        <w:rPr>
          <w:rFonts w:ascii="仿宋_GB2312" w:eastAsia="仿宋_GB2312" w:hAnsi="仿宋_GB2312" w:cs="仿宋_GB2312" w:hint="eastAsia"/>
          <w:color w:val="000000" w:themeColor="text1"/>
          <w:sz w:val="32"/>
          <w:szCs w:val="32"/>
        </w:rPr>
        <w:t>天津市滨海新区大港太平镇远景二村；经营范围：管桩、水泥制品制造、销售；地基与基础工程施工；预应力混凝土钢棒加工、制造、销售；普通货运；吊装服务等。</w:t>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15" w:name="_Toc173997426"/>
      <w:r>
        <w:rPr>
          <w:rFonts w:ascii="楷体_GB2312" w:eastAsia="楷体_GB2312" w:hAnsi="楷体_GB2312" w:cs="楷体_GB2312" w:hint="eastAsia"/>
          <w:b/>
          <w:bCs/>
          <w:color w:val="000000" w:themeColor="text1"/>
          <w:sz w:val="32"/>
          <w:szCs w:val="32"/>
        </w:rPr>
        <w:t>（二）涉</w:t>
      </w:r>
      <w:proofErr w:type="gramStart"/>
      <w:r>
        <w:rPr>
          <w:rFonts w:ascii="楷体_GB2312" w:eastAsia="楷体_GB2312" w:hAnsi="楷体_GB2312" w:cs="楷体_GB2312" w:hint="eastAsia"/>
          <w:b/>
          <w:bCs/>
          <w:color w:val="000000" w:themeColor="text1"/>
          <w:sz w:val="32"/>
          <w:szCs w:val="32"/>
        </w:rPr>
        <w:t>事设备</w:t>
      </w:r>
      <w:proofErr w:type="gramEnd"/>
      <w:r>
        <w:rPr>
          <w:rFonts w:ascii="楷体_GB2312" w:eastAsia="楷体_GB2312" w:hAnsi="楷体_GB2312" w:cs="楷体_GB2312" w:hint="eastAsia"/>
          <w:b/>
          <w:bCs/>
          <w:color w:val="000000" w:themeColor="text1"/>
          <w:sz w:val="32"/>
          <w:szCs w:val="32"/>
        </w:rPr>
        <w:t>及相关人员情况</w:t>
      </w:r>
      <w:bookmarkEnd w:id="14"/>
      <w:bookmarkEnd w:id="15"/>
    </w:p>
    <w:p w:rsidR="00922A32" w:rsidRDefault="00E64766">
      <w:pPr>
        <w:widowControl w:val="0"/>
        <w:spacing w:after="0" w:line="62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1.涉事特种设备情况</w:t>
      </w:r>
    </w:p>
    <w:p w:rsidR="00922A32" w:rsidRDefault="00E64766">
      <w:pPr>
        <w:widowControl w:val="0"/>
        <w:tabs>
          <w:tab w:val="left" w:pos="0"/>
          <w:tab w:val="left" w:pos="1860"/>
        </w:tabs>
        <w:spacing w:after="0" w:line="620" w:lineRule="exact"/>
        <w:ind w:firstLineChars="200" w:firstLine="640"/>
        <w:jc w:val="both"/>
        <w:rPr>
          <w:rFonts w:ascii="仿宋_GB2312" w:eastAsia="仿宋_GB2312"/>
          <w:bCs/>
          <w:color w:val="000000" w:themeColor="text1"/>
          <w:sz w:val="32"/>
          <w:szCs w:val="32"/>
        </w:rPr>
      </w:pPr>
      <w:r>
        <w:rPr>
          <w:rFonts w:ascii="仿宋_GB2312" w:eastAsia="仿宋_GB2312" w:hAnsi="仿宋_GB2312" w:cs="仿宋_GB2312" w:hint="eastAsia"/>
          <w:bCs/>
          <w:color w:val="000000" w:themeColor="text1"/>
          <w:sz w:val="32"/>
          <w:szCs w:val="32"/>
        </w:rPr>
        <w:t>涉</w:t>
      </w:r>
      <w:proofErr w:type="gramStart"/>
      <w:r>
        <w:rPr>
          <w:rFonts w:ascii="仿宋_GB2312" w:eastAsia="仿宋_GB2312" w:hAnsi="仿宋_GB2312" w:cs="仿宋_GB2312" w:hint="eastAsia"/>
          <w:bCs/>
          <w:color w:val="000000" w:themeColor="text1"/>
          <w:sz w:val="32"/>
          <w:szCs w:val="32"/>
        </w:rPr>
        <w:t>事设备</w:t>
      </w:r>
      <w:proofErr w:type="gramEnd"/>
      <w:r>
        <w:rPr>
          <w:rFonts w:ascii="仿宋_GB2312" w:eastAsia="仿宋_GB2312" w:hAnsi="仿宋_GB2312" w:cs="仿宋_GB2312" w:hint="eastAsia"/>
          <w:bCs/>
          <w:color w:val="000000" w:themeColor="text1"/>
          <w:sz w:val="32"/>
          <w:szCs w:val="32"/>
        </w:rPr>
        <w:t>类别：桥式起重机；注册代码：41101201092018120002；使用登记证编号：起11津B00243（23）；额定起重量：10+10吨；产品编号：160517804；型号规格：QE10+10t-28.5m A5；制造单位：河南省矿山起重机有限公司；产权单位：</w:t>
      </w:r>
      <w:r>
        <w:rPr>
          <w:rFonts w:ascii="仿宋_GB2312" w:eastAsia="仿宋_GB2312" w:hAnsi="仿宋_GB2312" w:cs="仿宋_GB2312" w:hint="eastAsia"/>
          <w:bCs/>
          <w:color w:val="000000" w:themeColor="text1"/>
          <w:sz w:val="32"/>
          <w:szCs w:val="32"/>
          <w:lang w:val="zh-CN"/>
        </w:rPr>
        <w:t>永生伟业公司；操纵方式：司机室操作</w:t>
      </w:r>
      <w:r>
        <w:rPr>
          <w:rFonts w:ascii="仿宋_GB2312" w:eastAsia="仿宋_GB2312" w:hAnsi="仿宋_GB2312" w:cs="仿宋_GB2312" w:hint="eastAsia"/>
          <w:bCs/>
          <w:color w:val="000000" w:themeColor="text1"/>
          <w:sz w:val="32"/>
          <w:szCs w:val="32"/>
        </w:rPr>
        <w:t>；单位内部编号：</w:t>
      </w:r>
      <w:proofErr w:type="gramStart"/>
      <w:r>
        <w:rPr>
          <w:rFonts w:ascii="仿宋_GB2312" w:eastAsia="仿宋_GB2312" w:hAnsi="仿宋_GB2312" w:cs="仿宋_GB2312" w:hint="eastAsia"/>
          <w:bCs/>
          <w:color w:val="000000" w:themeColor="text1"/>
          <w:sz w:val="32"/>
          <w:szCs w:val="32"/>
        </w:rPr>
        <w:t>一</w:t>
      </w:r>
      <w:proofErr w:type="gramEnd"/>
      <w:r>
        <w:rPr>
          <w:rFonts w:ascii="仿宋_GB2312" w:eastAsia="仿宋_GB2312" w:hAnsi="仿宋_GB2312" w:cs="仿宋_GB2312" w:hint="eastAsia"/>
          <w:bCs/>
          <w:color w:val="000000" w:themeColor="text1"/>
          <w:sz w:val="32"/>
          <w:szCs w:val="32"/>
        </w:rPr>
        <w:t>库中跨。该设备于2023年1月11日经天津市滨海新区检验检测中心定期检验合格，下次检验日期为2024年12月，报告编号：</w:t>
      </w:r>
      <w:proofErr w:type="gramStart"/>
      <w:r>
        <w:rPr>
          <w:rFonts w:ascii="仿宋_GB2312" w:eastAsia="仿宋_GB2312" w:hAnsi="仿宋_GB2312" w:cs="仿宋_GB2312" w:hint="eastAsia"/>
          <w:bCs/>
          <w:color w:val="000000" w:themeColor="text1"/>
          <w:sz w:val="32"/>
          <w:szCs w:val="32"/>
        </w:rPr>
        <w:t>滨起定检</w:t>
      </w:r>
      <w:proofErr w:type="gramEnd"/>
      <w:r>
        <w:rPr>
          <w:rFonts w:ascii="仿宋_GB2312" w:eastAsia="仿宋_GB2312" w:hAnsi="仿宋_GB2312" w:cs="仿宋_GB2312" w:hint="eastAsia"/>
          <w:bCs/>
          <w:color w:val="000000" w:themeColor="text1"/>
          <w:sz w:val="32"/>
          <w:szCs w:val="32"/>
        </w:rPr>
        <w:t>2022-03565号。</w:t>
      </w:r>
    </w:p>
    <w:p w:rsidR="00922A32" w:rsidRDefault="00E64766">
      <w:pPr>
        <w:widowControl w:val="0"/>
        <w:tabs>
          <w:tab w:val="left" w:pos="0"/>
          <w:tab w:val="left" w:pos="1860"/>
        </w:tabs>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lastRenderedPageBreak/>
        <w:t>2.涉事相关人员情况</w:t>
      </w:r>
    </w:p>
    <w:p w:rsidR="00922A32" w:rsidRDefault="00E64766">
      <w:pPr>
        <w:widowControl w:val="0"/>
        <w:tabs>
          <w:tab w:val="left" w:pos="0"/>
          <w:tab w:val="left" w:pos="1860"/>
        </w:tabs>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Cs/>
          <w:color w:val="000000" w:themeColor="text1"/>
          <w:sz w:val="32"/>
          <w:szCs w:val="32"/>
        </w:rPr>
        <w:t>（1）吴秀敏，</w:t>
      </w:r>
      <w:r>
        <w:rPr>
          <w:rFonts w:ascii="仿宋_GB2312" w:eastAsia="仿宋_GB2312" w:hAnsi="仿宋_GB2312" w:cs="仿宋_GB2312" w:hint="eastAsia"/>
          <w:color w:val="000000" w:themeColor="text1"/>
          <w:sz w:val="32"/>
          <w:szCs w:val="32"/>
        </w:rPr>
        <w:t>女，1954年6月13日出生，天津市滨海新区人，身份证号为120109195406135080，永生伟业公司法定代表人，不具体参与永生伟业公司生产经营活动，将安全生产管理职责授权委托他人。</w:t>
      </w:r>
    </w:p>
    <w:p w:rsidR="00922A32" w:rsidRDefault="00E64766">
      <w:pPr>
        <w:widowControl w:val="0"/>
        <w:numPr>
          <w:ilvl w:val="255"/>
          <w:numId w:val="0"/>
        </w:numPr>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（2）杜文辉，男，1979年11月4日出生，河南省泌阳县人，身份证号为412822197911043813，2024年1月1日永生伟业公司任命其为总经理（主要负责人），全面负责永生伟业公司安全生产工作；2024年1月1日吴秀敏与杜文</w:t>
      </w:r>
      <w:proofErr w:type="gramStart"/>
      <w:r>
        <w:rPr>
          <w:rFonts w:ascii="仿宋_GB2312" w:eastAsia="仿宋_GB2312" w:hAnsi="仿宋_GB2312" w:cs="仿宋_GB2312" w:hint="eastAsia"/>
          <w:color w:val="000000" w:themeColor="text1"/>
          <w:sz w:val="32"/>
          <w:szCs w:val="32"/>
        </w:rPr>
        <w:t>辉签订</w:t>
      </w:r>
      <w:proofErr w:type="gramEnd"/>
      <w:r>
        <w:rPr>
          <w:rFonts w:ascii="仿宋_GB2312" w:eastAsia="仿宋_GB2312" w:hAnsi="仿宋_GB2312" w:cs="仿宋_GB2312" w:hint="eastAsia"/>
          <w:color w:val="000000" w:themeColor="text1"/>
          <w:sz w:val="32"/>
          <w:szCs w:val="32"/>
        </w:rPr>
        <w:t>《企业法人代表授权委托主要负责人委托书》，委托杜文</w:t>
      </w:r>
      <w:proofErr w:type="gramStart"/>
      <w:r>
        <w:rPr>
          <w:rFonts w:ascii="仿宋_GB2312" w:eastAsia="仿宋_GB2312" w:hAnsi="仿宋_GB2312" w:cs="仿宋_GB2312" w:hint="eastAsia"/>
          <w:color w:val="000000" w:themeColor="text1"/>
          <w:sz w:val="32"/>
          <w:szCs w:val="32"/>
        </w:rPr>
        <w:t>辉全面</w:t>
      </w:r>
      <w:proofErr w:type="gramEnd"/>
      <w:r>
        <w:rPr>
          <w:rFonts w:ascii="仿宋_GB2312" w:eastAsia="仿宋_GB2312" w:hAnsi="仿宋_GB2312" w:cs="仿宋_GB2312" w:hint="eastAsia"/>
          <w:color w:val="000000" w:themeColor="text1"/>
          <w:sz w:val="32"/>
          <w:szCs w:val="32"/>
        </w:rPr>
        <w:t>负责主持安全生产经营工作。</w:t>
      </w:r>
    </w:p>
    <w:p w:rsidR="00922A32" w:rsidRDefault="00E64766">
      <w:pPr>
        <w:widowControl w:val="0"/>
        <w:spacing w:after="0" w:line="62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（3）刘状，男，2001年4月24日出生，河南省泌阳县人，身份证号为412822200104240815，永生伟业公司职工，系挂钩工，2024年4月份学习桥式起重机驾驶，事发时刘状无《特种设备作业人员证》（Q2）</w:t>
      </w:r>
      <w:r>
        <w:rPr>
          <w:rStyle w:val="ab"/>
          <w:rFonts w:ascii="仿宋_GB2312" w:eastAsia="仿宋_GB2312" w:hAnsi="仿宋_GB2312" w:cs="仿宋_GB2312" w:hint="eastAsia"/>
          <w:bCs/>
          <w:color w:val="000000" w:themeColor="text1"/>
          <w:sz w:val="32"/>
          <w:szCs w:val="32"/>
        </w:rPr>
        <w:t>[</w:t>
      </w:r>
      <w:r>
        <w:rPr>
          <w:rStyle w:val="ab"/>
          <w:rFonts w:ascii="仿宋_GB2312" w:eastAsia="仿宋_GB2312" w:hAnsi="仿宋_GB2312" w:cs="仿宋_GB2312" w:hint="eastAsia"/>
          <w:bCs/>
          <w:color w:val="000000" w:themeColor="text1"/>
          <w:sz w:val="32"/>
          <w:szCs w:val="32"/>
        </w:rPr>
        <w:footnoteReference w:id="1"/>
      </w:r>
      <w:r>
        <w:rPr>
          <w:rStyle w:val="ab"/>
          <w:rFonts w:ascii="仿宋_GB2312" w:eastAsia="仿宋_GB2312" w:hAnsi="仿宋_GB2312" w:cs="仿宋_GB2312" w:hint="eastAsia"/>
          <w:bCs/>
          <w:color w:val="000000" w:themeColor="text1"/>
          <w:sz w:val="32"/>
          <w:szCs w:val="32"/>
        </w:rPr>
        <w:t>]</w:t>
      </w:r>
      <w:r>
        <w:rPr>
          <w:rFonts w:ascii="仿宋_GB2312" w:eastAsia="仿宋_GB2312" w:hAnsi="仿宋_GB2312" w:cs="仿宋_GB2312" w:hint="eastAsia"/>
          <w:bCs/>
          <w:color w:val="000000" w:themeColor="text1"/>
          <w:sz w:val="32"/>
          <w:szCs w:val="32"/>
        </w:rPr>
        <w:t>。</w:t>
      </w:r>
    </w:p>
    <w:p w:rsidR="00922A32" w:rsidRDefault="00E64766">
      <w:pPr>
        <w:widowControl w:val="0"/>
        <w:spacing w:after="0" w:line="62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（死者），男，1984年10月1日出生，河南省泌阳县人，身份证号为412822198410010030，</w:t>
      </w:r>
      <w:bookmarkStart w:id="16" w:name="_Toc703_WPSOffice_Level1"/>
      <w:bookmarkStart w:id="17" w:name="_Toc32500_WPSOffice_Level1"/>
      <w:r>
        <w:rPr>
          <w:rFonts w:ascii="仿宋_GB2312" w:eastAsia="仿宋_GB2312" w:hAnsi="仿宋_GB2312" w:cs="仿宋_GB2312" w:hint="eastAsia"/>
          <w:color w:val="000000" w:themeColor="text1"/>
          <w:sz w:val="32"/>
          <w:szCs w:val="32"/>
        </w:rPr>
        <w:t>永生伟业公司职工，系桥式起重机司机，持《特种设备作业人员证》，项目代</w:t>
      </w:r>
      <w:r>
        <w:rPr>
          <w:rFonts w:ascii="仿宋_GB2312" w:eastAsia="仿宋_GB2312" w:hAnsi="仿宋_GB2312" w:cs="仿宋_GB2312" w:hint="eastAsia"/>
          <w:color w:val="000000" w:themeColor="text1"/>
          <w:sz w:val="32"/>
          <w:szCs w:val="32"/>
        </w:rPr>
        <w:lastRenderedPageBreak/>
        <w:t>号为Q2（限桥式起重机），有效期至2024年12月。</w:t>
      </w:r>
    </w:p>
    <w:p w:rsidR="00922A32" w:rsidRDefault="00E64766">
      <w:pPr>
        <w:widowControl w:val="0"/>
        <w:spacing w:after="0" w:line="620" w:lineRule="exact"/>
        <w:ind w:firstLineChars="200" w:firstLine="640"/>
        <w:rPr>
          <w:color w:val="000000" w:themeColor="text1"/>
        </w:rPr>
      </w:pPr>
      <w:r>
        <w:rPr>
          <w:rFonts w:ascii="仿宋_GB2312" w:eastAsia="仿宋_GB2312" w:hAnsi="仿宋_GB2312" w:cs="仿宋_GB2312" w:hint="eastAsia"/>
          <w:color w:val="000000" w:themeColor="text1"/>
          <w:sz w:val="32"/>
          <w:szCs w:val="32"/>
        </w:rPr>
        <w:t>（5）王珂，男，1989年6月24日出生，河南省泌阳县人，身份证号为412822198906241211，永生伟业公司职工，系露天成品堆场班长。</w:t>
      </w:r>
      <w:bookmarkStart w:id="18" w:name="_Toc141372574"/>
    </w:p>
    <w:p w:rsidR="00922A32" w:rsidRDefault="00E64766">
      <w:pPr>
        <w:pStyle w:val="20"/>
        <w:spacing w:line="620" w:lineRule="exact"/>
        <w:rPr>
          <w:b/>
          <w:color w:val="000000" w:themeColor="text1"/>
        </w:rPr>
      </w:pPr>
      <w:bookmarkStart w:id="19" w:name="_Toc173997427"/>
      <w:r>
        <w:rPr>
          <w:rFonts w:hint="eastAsia"/>
          <w:color w:val="000000" w:themeColor="text1"/>
        </w:rPr>
        <w:t>二、事故发生过程、应急</w:t>
      </w:r>
      <w:bookmarkEnd w:id="16"/>
      <w:bookmarkEnd w:id="17"/>
      <w:r>
        <w:rPr>
          <w:rFonts w:hint="eastAsia"/>
          <w:color w:val="000000" w:themeColor="text1"/>
        </w:rPr>
        <w:t>处置及善后赔偿情况</w:t>
      </w:r>
      <w:bookmarkEnd w:id="18"/>
      <w:bookmarkEnd w:id="19"/>
    </w:p>
    <w:p w:rsidR="00922A32" w:rsidRDefault="00E64766">
      <w:pPr>
        <w:widowControl w:val="0"/>
        <w:spacing w:after="0" w:line="620" w:lineRule="exact"/>
        <w:ind w:firstLineChars="200" w:firstLine="643"/>
        <w:outlineLvl w:val="1"/>
        <w:rPr>
          <w:rFonts w:ascii="楷体_GB2312" w:eastAsia="楷体_GB2312" w:hAnsi="楷体_GB2312" w:cs="楷体_GB2312"/>
          <w:color w:val="000000" w:themeColor="text1"/>
          <w:sz w:val="32"/>
          <w:szCs w:val="32"/>
        </w:rPr>
      </w:pPr>
      <w:bookmarkStart w:id="20" w:name="_Toc23747_WPSOffice_Level2"/>
      <w:bookmarkStart w:id="21" w:name="_Toc173997428"/>
      <w:r>
        <w:rPr>
          <w:rFonts w:ascii="楷体_GB2312" w:eastAsia="楷体_GB2312" w:hAnsi="楷体_GB2312" w:cs="楷体_GB2312" w:hint="eastAsia"/>
          <w:b/>
          <w:bCs/>
          <w:color w:val="000000" w:themeColor="text1"/>
          <w:sz w:val="32"/>
          <w:szCs w:val="32"/>
        </w:rPr>
        <w:t>（一）事故发生过程</w:t>
      </w:r>
      <w:bookmarkEnd w:id="20"/>
      <w:bookmarkEnd w:id="21"/>
    </w:p>
    <w:p w:rsidR="00922A32" w:rsidRDefault="00E64766">
      <w:pPr>
        <w:widowControl w:val="0"/>
        <w:spacing w:after="0" w:line="620" w:lineRule="exact"/>
        <w:ind w:firstLineChars="200" w:firstLine="640"/>
        <w:jc w:val="both"/>
        <w:rPr>
          <w:color w:val="000000" w:themeColor="text1"/>
        </w:rPr>
      </w:pPr>
      <w:r>
        <w:rPr>
          <w:rFonts w:ascii="仿宋_GB2312" w:eastAsia="仿宋_GB2312" w:hAnsi="仿宋_GB2312" w:cs="仿宋_GB2312" w:hint="eastAsia"/>
          <w:bCs/>
          <w:color w:val="000000" w:themeColor="text1"/>
          <w:sz w:val="32"/>
          <w:szCs w:val="32"/>
        </w:rPr>
        <w:t>事故调查组经</w:t>
      </w:r>
      <w:r>
        <w:rPr>
          <w:rFonts w:ascii="仿宋_GB2312" w:eastAsia="仿宋_GB2312" w:hAnsi="仿宋_GB2312" w:cs="仿宋_GB2312" w:hint="eastAsia"/>
          <w:bCs/>
          <w:color w:val="000000" w:themeColor="text1"/>
          <w:sz w:val="32"/>
          <w:szCs w:val="32"/>
          <w:lang w:val="zh-CN"/>
        </w:rPr>
        <w:t>现场勘验，结合事发现场视频及调查询问，查明以下事故经过：</w:t>
      </w:r>
      <w:bookmarkStart w:id="22" w:name="_Toc6706_WPSOffice_Level2"/>
      <w:r>
        <w:rPr>
          <w:rFonts w:ascii="仿宋_GB2312" w:eastAsia="仿宋_GB2312" w:hAnsi="仿宋_GB2312" w:cs="仿宋_GB2312" w:hint="eastAsia"/>
          <w:color w:val="000000" w:themeColor="text1"/>
          <w:sz w:val="32"/>
          <w:szCs w:val="32"/>
        </w:rPr>
        <w:t>2024年5月29日上午，王珂安排刘状中午接替张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继续从事管桩吊装作业，11时50分许，刘状登上露天成品堆场</w:t>
      </w:r>
      <w:proofErr w:type="gramStart"/>
      <w:r>
        <w:rPr>
          <w:rFonts w:ascii="仿宋_GB2312" w:eastAsia="仿宋_GB2312" w:hAnsi="仿宋_GB2312" w:cs="仿宋_GB2312" w:hint="eastAsia"/>
          <w:bCs/>
          <w:color w:val="000000" w:themeColor="text1"/>
          <w:sz w:val="32"/>
          <w:szCs w:val="32"/>
        </w:rPr>
        <w:t>一</w:t>
      </w:r>
      <w:proofErr w:type="gramEnd"/>
      <w:r>
        <w:rPr>
          <w:rFonts w:ascii="仿宋_GB2312" w:eastAsia="仿宋_GB2312" w:hAnsi="仿宋_GB2312" w:cs="仿宋_GB2312" w:hint="eastAsia"/>
          <w:bCs/>
          <w:color w:val="000000" w:themeColor="text1"/>
          <w:sz w:val="32"/>
          <w:szCs w:val="32"/>
        </w:rPr>
        <w:t>库西跨上下起重机</w:t>
      </w:r>
      <w:r>
        <w:rPr>
          <w:rFonts w:ascii="仿宋_GB2312" w:eastAsia="仿宋_GB2312" w:hAnsi="仿宋_GB2312" w:cs="仿宋_GB2312" w:hint="eastAsia"/>
          <w:color w:val="000000" w:themeColor="text1"/>
          <w:sz w:val="32"/>
          <w:szCs w:val="32"/>
        </w:rPr>
        <w:t>平台（以下统称“西跨平台”），翻越西跨平台护栏和</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库中跨桥式起重机司机室护栏（以下统称“司机室护栏”）后进入</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库中跨桥式起重机司机室与张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进行交接班，二人在司机室内简单交流后，张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走出司机室，登上爬梯欲翻越司机室护栏及西跨平台护栏后通过西跨平台离开，在翻越过程中刘状启动</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库中跨桥式起重机向东行驶，致使张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重心不稳从司机室护栏与西跨平台护栏间坠落至地面（距地面约6米）。刘状听见响声后立即将一库中跨桥式起重机开回初始位置，翻越司机室护栏及西跨平台护栏后通过西跨平台到达地面查看张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身体状况，大声呼叫堆场工作人员并开展救援工作。</w:t>
      </w:r>
    </w:p>
    <w:p w:rsidR="00922A32" w:rsidRDefault="00E64766">
      <w:pPr>
        <w:pStyle w:val="2"/>
        <w:spacing w:line="240" w:lineRule="auto"/>
        <w:ind w:left="440"/>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lastRenderedPageBreak/>
        <w:t>图一：</w:t>
      </w:r>
      <w:r>
        <w:rPr>
          <w:rFonts w:ascii="仿宋_GB2312" w:eastAsia="仿宋_GB2312" w:hAnsi="仿宋_GB2312" w:cs="仿宋_GB2312" w:hint="eastAsia"/>
          <w:b/>
          <w:bCs/>
          <w:color w:val="000000" w:themeColor="text1"/>
          <w:sz w:val="32"/>
          <w:szCs w:val="32"/>
        </w:rPr>
        <w:t xml:space="preserve">  </w:t>
      </w:r>
      <w:r>
        <w:rPr>
          <w:rFonts w:ascii="楷体" w:eastAsia="楷体" w:hAnsi="楷体" w:cs="楷体" w:hint="eastAsia"/>
          <w:b/>
          <w:bCs/>
          <w:color w:val="000000" w:themeColor="text1"/>
          <w:sz w:val="32"/>
          <w:szCs w:val="32"/>
        </w:rPr>
        <w:t>露天成品堆场平面图</w:t>
      </w: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noProof/>
          <w:color w:val="000000" w:themeColor="text1"/>
          <w:sz w:val="32"/>
          <w:szCs w:val="32"/>
        </w:rPr>
        <w:drawing>
          <wp:inline distT="0" distB="0" distL="114300" distR="114300">
            <wp:extent cx="5219065" cy="3291205"/>
            <wp:effectExtent l="0" t="0" r="635" b="4445"/>
            <wp:docPr id="2" name="图片 2" descr="17230839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3083900208"/>
                    <pic:cNvPicPr>
                      <a:picLocks noChangeAspect="1"/>
                    </pic:cNvPicPr>
                  </pic:nvPicPr>
                  <pic:blipFill>
                    <a:blip r:embed="rId10"/>
                    <a:stretch>
                      <a:fillRect/>
                    </a:stretch>
                  </pic:blipFill>
                  <pic:spPr>
                    <a:xfrm>
                      <a:off x="0" y="0"/>
                      <a:ext cx="5219065" cy="3291205"/>
                    </a:xfrm>
                    <a:prstGeom prst="rect">
                      <a:avLst/>
                    </a:prstGeom>
                  </pic:spPr>
                </pic:pic>
              </a:graphicData>
            </a:graphic>
          </wp:inline>
        </w:drawing>
      </w:r>
      <w:r>
        <w:rPr>
          <w:rFonts w:ascii="仿宋_GB2312" w:eastAsia="仿宋_GB2312" w:hAnsi="仿宋_GB2312" w:cs="仿宋_GB2312" w:hint="eastAsia"/>
          <w:color w:val="000000" w:themeColor="text1"/>
          <w:sz w:val="32"/>
          <w:szCs w:val="32"/>
        </w:rPr>
        <w:t xml:space="preserve">                  </w:t>
      </w:r>
    </w:p>
    <w:p w:rsidR="00922A32" w:rsidRDefault="00E64766">
      <w:pPr>
        <w:pStyle w:val="2"/>
        <w:ind w:left="440"/>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图二：事发位置示意图</w:t>
      </w:r>
    </w:p>
    <w:p w:rsidR="00922A32" w:rsidRDefault="00E64766">
      <w:pPr>
        <w:pStyle w:val="2"/>
        <w:ind w:left="440"/>
        <w:rPr>
          <w:rFonts w:ascii="楷体_GB2312" w:eastAsia="楷体_GB2312" w:hAnsi="楷体_GB2312" w:cs="楷体_GB2312"/>
          <w:b/>
          <w:bCs/>
          <w:color w:val="000000" w:themeColor="text1"/>
          <w:sz w:val="32"/>
          <w:szCs w:val="32"/>
        </w:rPr>
      </w:pPr>
      <w:r>
        <w:rPr>
          <w:noProof/>
        </w:rPr>
        <w:drawing>
          <wp:inline distT="0" distB="0" distL="114300" distR="114300">
            <wp:extent cx="5248275" cy="3686810"/>
            <wp:effectExtent l="0" t="0" r="952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48275" cy="3686810"/>
                    </a:xfrm>
                    <a:prstGeom prst="rect">
                      <a:avLst/>
                    </a:prstGeom>
                    <a:noFill/>
                    <a:ln>
                      <a:noFill/>
                    </a:ln>
                  </pic:spPr>
                </pic:pic>
              </a:graphicData>
            </a:graphic>
          </wp:inline>
        </w:drawing>
      </w:r>
    </w:p>
    <w:p w:rsidR="00922A32" w:rsidRDefault="00E64766">
      <w:pPr>
        <w:pStyle w:val="2"/>
        <w:ind w:left="440"/>
        <w:rPr>
          <w:rFonts w:ascii="楷体_GB2312" w:eastAsia="楷体_GB2312"/>
          <w:b/>
          <w:sz w:val="32"/>
          <w:szCs w:val="32"/>
        </w:rPr>
      </w:pPr>
      <w:r>
        <w:rPr>
          <w:rFonts w:ascii="楷体_GB2312" w:eastAsia="楷体_GB2312" w:hint="eastAsia"/>
          <w:b/>
          <w:sz w:val="32"/>
          <w:szCs w:val="32"/>
        </w:rPr>
        <w:lastRenderedPageBreak/>
        <w:t>图三：事发现场全景图</w:t>
      </w:r>
    </w:p>
    <w:p w:rsidR="00922A32" w:rsidRDefault="00E64766">
      <w:pPr>
        <w:pStyle w:val="2"/>
        <w:ind w:left="440"/>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noProof/>
          <w:color w:val="000000" w:themeColor="text1"/>
          <w:sz w:val="32"/>
          <w:szCs w:val="32"/>
        </w:rPr>
        <w:drawing>
          <wp:inline distT="0" distB="0" distL="114300" distR="114300">
            <wp:extent cx="5606415" cy="3421380"/>
            <wp:effectExtent l="0" t="0" r="13335" b="7620"/>
            <wp:docPr id="3" name="图片 3" descr="17228256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2825642427"/>
                    <pic:cNvPicPr>
                      <a:picLocks noChangeAspect="1"/>
                    </pic:cNvPicPr>
                  </pic:nvPicPr>
                  <pic:blipFill>
                    <a:blip r:embed="rId12"/>
                    <a:stretch>
                      <a:fillRect/>
                    </a:stretch>
                  </pic:blipFill>
                  <pic:spPr>
                    <a:xfrm>
                      <a:off x="0" y="0"/>
                      <a:ext cx="5606415" cy="3421380"/>
                    </a:xfrm>
                    <a:prstGeom prst="rect">
                      <a:avLst/>
                    </a:prstGeom>
                  </pic:spPr>
                </pic:pic>
              </a:graphicData>
            </a:graphic>
          </wp:inline>
        </w:drawing>
      </w:r>
    </w:p>
    <w:p w:rsidR="00922A32" w:rsidRDefault="00E64766">
      <w:pPr>
        <w:pStyle w:val="2"/>
        <w:ind w:left="440"/>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图四：</w:t>
      </w:r>
      <w:proofErr w:type="gramStart"/>
      <w:r>
        <w:rPr>
          <w:rFonts w:ascii="楷体_GB2312" w:eastAsia="楷体_GB2312" w:hAnsi="楷体_GB2312" w:cs="楷体_GB2312" w:hint="eastAsia"/>
          <w:b/>
          <w:bCs/>
          <w:color w:val="000000" w:themeColor="text1"/>
          <w:sz w:val="32"/>
          <w:szCs w:val="32"/>
        </w:rPr>
        <w:t>一</w:t>
      </w:r>
      <w:proofErr w:type="gramEnd"/>
      <w:r>
        <w:rPr>
          <w:rFonts w:ascii="楷体_GB2312" w:eastAsia="楷体_GB2312" w:hAnsi="楷体_GB2312" w:cs="楷体_GB2312" w:hint="eastAsia"/>
          <w:b/>
          <w:bCs/>
          <w:color w:val="000000" w:themeColor="text1"/>
          <w:sz w:val="32"/>
          <w:szCs w:val="32"/>
        </w:rPr>
        <w:t>库中跨桥式起重机专用平台示意图</w:t>
      </w:r>
      <w:r>
        <w:rPr>
          <w:rFonts w:ascii="楷体_GB2312" w:eastAsia="楷体_GB2312" w:hAnsi="楷体_GB2312" w:cs="楷体_GB2312" w:hint="eastAsia"/>
          <w:b/>
          <w:bCs/>
          <w:noProof/>
          <w:color w:val="000000" w:themeColor="text1"/>
          <w:sz w:val="32"/>
          <w:szCs w:val="32"/>
        </w:rPr>
        <w:drawing>
          <wp:inline distT="0" distB="0" distL="114300" distR="114300">
            <wp:extent cx="5606415" cy="3001645"/>
            <wp:effectExtent l="0" t="0" r="13335" b="8255"/>
            <wp:docPr id="4" name="图片 4" descr="529c8c5e92735b52318fe4b8fa8f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9c8c5e92735b52318fe4b8fa8f65e"/>
                    <pic:cNvPicPr>
                      <a:picLocks noChangeAspect="1"/>
                    </pic:cNvPicPr>
                  </pic:nvPicPr>
                  <pic:blipFill>
                    <a:blip r:embed="rId13"/>
                    <a:stretch>
                      <a:fillRect/>
                    </a:stretch>
                  </pic:blipFill>
                  <pic:spPr>
                    <a:xfrm>
                      <a:off x="0" y="0"/>
                      <a:ext cx="5606415" cy="3001645"/>
                    </a:xfrm>
                    <a:prstGeom prst="rect">
                      <a:avLst/>
                    </a:prstGeom>
                  </pic:spPr>
                </pic:pic>
              </a:graphicData>
            </a:graphic>
          </wp:inline>
        </w:drawing>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23" w:name="_Toc173997429"/>
      <w:r>
        <w:rPr>
          <w:rFonts w:ascii="楷体_GB2312" w:eastAsia="楷体_GB2312" w:hAnsi="楷体_GB2312" w:cs="楷体_GB2312" w:hint="eastAsia"/>
          <w:b/>
          <w:bCs/>
          <w:color w:val="000000" w:themeColor="text1"/>
          <w:sz w:val="32"/>
          <w:szCs w:val="32"/>
        </w:rPr>
        <w:lastRenderedPageBreak/>
        <w:t>（二）应急处置情况</w:t>
      </w:r>
      <w:bookmarkEnd w:id="22"/>
      <w:bookmarkEnd w:id="23"/>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事故发生后，刘状拨打120急救电话，将张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送往天津市滨海新区海滨人民医院抢救。12时02分，永生伟业公司向太平镇人民政府报告事故发生情况，同时疏散现场人员和车辆，并封闭现场、维护现场秩序。14时10分，张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经抢救无效死亡。</w:t>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24" w:name="_Toc173997430"/>
      <w:r>
        <w:rPr>
          <w:rFonts w:ascii="楷体_GB2312" w:eastAsia="楷体_GB2312" w:hAnsi="楷体_GB2312" w:cs="楷体_GB2312" w:hint="eastAsia"/>
          <w:b/>
          <w:bCs/>
          <w:color w:val="000000" w:themeColor="text1"/>
          <w:sz w:val="32"/>
          <w:szCs w:val="32"/>
        </w:rPr>
        <w:t>（三）善后赔偿情况</w:t>
      </w:r>
      <w:bookmarkEnd w:id="24"/>
    </w:p>
    <w:p w:rsidR="00922A32" w:rsidRDefault="00E64766">
      <w:pPr>
        <w:widowControl w:val="0"/>
        <w:tabs>
          <w:tab w:val="left" w:pos="360"/>
        </w:tabs>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5月31日，永生伟业公司与死者家属签订了《人民调解协议书》，赔偿金额共计166万元人民币。死者家属已对永生伟业公司表示谅解，该事故未对社会稳定造成影响。</w:t>
      </w:r>
    </w:p>
    <w:p w:rsidR="00922A32" w:rsidRDefault="00E64766">
      <w:pPr>
        <w:pStyle w:val="20"/>
        <w:spacing w:line="620" w:lineRule="exact"/>
        <w:rPr>
          <w:b/>
          <w:color w:val="000000" w:themeColor="text1"/>
        </w:rPr>
      </w:pPr>
      <w:bookmarkStart w:id="25" w:name="_Toc141372575"/>
      <w:bookmarkStart w:id="26" w:name="_Toc31332_WPSOffice_Level1"/>
      <w:bookmarkStart w:id="27" w:name="_Toc8686_WPSOffice_Level1"/>
      <w:bookmarkStart w:id="28" w:name="_Toc173997431"/>
      <w:r>
        <w:rPr>
          <w:rFonts w:hint="eastAsia"/>
          <w:color w:val="000000" w:themeColor="text1"/>
        </w:rPr>
        <w:t>三、人员伤亡及直接经济损失</w:t>
      </w:r>
      <w:bookmarkEnd w:id="25"/>
      <w:bookmarkEnd w:id="26"/>
      <w:bookmarkEnd w:id="27"/>
      <w:bookmarkEnd w:id="28"/>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29" w:name="_Toc31970_WPSOffice_Level2"/>
      <w:bookmarkStart w:id="30" w:name="_Toc173997432"/>
      <w:r>
        <w:rPr>
          <w:rFonts w:ascii="楷体_GB2312" w:eastAsia="楷体_GB2312" w:hAnsi="楷体_GB2312" w:cs="楷体_GB2312" w:hint="eastAsia"/>
          <w:b/>
          <w:bCs/>
          <w:color w:val="000000" w:themeColor="text1"/>
          <w:sz w:val="32"/>
          <w:szCs w:val="32"/>
        </w:rPr>
        <w:t>（一）人员伤亡情况</w:t>
      </w:r>
      <w:bookmarkEnd w:id="29"/>
      <w:bookmarkEnd w:id="30"/>
    </w:p>
    <w:p w:rsidR="00922A32" w:rsidRDefault="00E64766">
      <w:pPr>
        <w:widowControl w:val="0"/>
        <w:spacing w:after="0" w:line="620" w:lineRule="exact"/>
        <w:ind w:firstLineChars="200" w:firstLine="640"/>
        <w:jc w:val="both"/>
        <w:rPr>
          <w:rFonts w:ascii="楷体_GB2312" w:eastAsia="楷体_GB2312" w:hAnsi="楷体_GB2312" w:cs="楷体_GB2312"/>
          <w:b/>
          <w:bCs/>
          <w:color w:val="000000" w:themeColor="text1"/>
          <w:sz w:val="32"/>
          <w:szCs w:val="32"/>
        </w:rPr>
      </w:pPr>
      <w:r>
        <w:rPr>
          <w:rFonts w:ascii="仿宋_GB2312" w:eastAsia="仿宋_GB2312" w:hAnsi="仿宋_GB2312" w:cs="仿宋_GB2312" w:hint="eastAsia"/>
          <w:bCs/>
          <w:color w:val="000000" w:themeColor="text1"/>
          <w:sz w:val="32"/>
          <w:szCs w:val="32"/>
        </w:rPr>
        <w:t>事故造成1人死亡。死者：</w:t>
      </w:r>
      <w:bookmarkStart w:id="31" w:name="_Toc30347_WPSOffice_Level2"/>
      <w:r>
        <w:rPr>
          <w:rFonts w:ascii="仿宋_GB2312" w:eastAsia="仿宋_GB2312" w:hAnsi="仿宋_GB2312" w:cs="仿宋_GB2312" w:hint="eastAsia"/>
          <w:bCs/>
          <w:color w:val="000000" w:themeColor="text1"/>
          <w:sz w:val="32"/>
          <w:szCs w:val="32"/>
        </w:rPr>
        <w:t>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，男，</w:t>
      </w:r>
      <w:r>
        <w:rPr>
          <w:rFonts w:ascii="仿宋_GB2312" w:eastAsia="仿宋_GB2312" w:hAnsi="仿宋_GB2312" w:cs="仿宋_GB2312" w:hint="eastAsia"/>
          <w:color w:val="000000" w:themeColor="text1"/>
          <w:sz w:val="32"/>
          <w:szCs w:val="32"/>
        </w:rPr>
        <w:t>1984年10月1日出生，河南省泌阳县人，身份证号为412822198410010030。</w:t>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32" w:name="_Toc173997433"/>
      <w:r>
        <w:rPr>
          <w:rFonts w:ascii="楷体_GB2312" w:eastAsia="楷体_GB2312" w:hAnsi="楷体_GB2312" w:cs="楷体_GB2312" w:hint="eastAsia"/>
          <w:b/>
          <w:bCs/>
          <w:color w:val="000000" w:themeColor="text1"/>
          <w:sz w:val="32"/>
          <w:szCs w:val="32"/>
        </w:rPr>
        <w:t>（二）直接经济损失</w:t>
      </w:r>
      <w:bookmarkEnd w:id="31"/>
      <w:bookmarkEnd w:id="32"/>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事故调查组依据《企业职工伤亡事故经济损失统计标准》（GB6721-1986）的有关规定，核定事故造成直接经济损失167.94万元。</w:t>
      </w:r>
      <w:bookmarkStart w:id="33" w:name="_Toc141372576"/>
      <w:bookmarkStart w:id="34" w:name="_Toc27543_WPSOffice_Level1"/>
      <w:bookmarkStart w:id="35" w:name="_Toc20528_WPSOffice_Level1"/>
    </w:p>
    <w:p w:rsidR="00922A32" w:rsidRDefault="00E64766">
      <w:pPr>
        <w:pStyle w:val="20"/>
        <w:spacing w:line="620" w:lineRule="exact"/>
        <w:rPr>
          <w:b/>
          <w:color w:val="000000" w:themeColor="text1"/>
        </w:rPr>
      </w:pPr>
      <w:bookmarkStart w:id="36" w:name="_Toc173997434"/>
      <w:r>
        <w:rPr>
          <w:rFonts w:hint="eastAsia"/>
          <w:color w:val="000000" w:themeColor="text1"/>
        </w:rPr>
        <w:t>四、事故原因及性质</w:t>
      </w:r>
      <w:bookmarkStart w:id="37" w:name="_Toc3158_WPSOffice_Level2"/>
      <w:bookmarkEnd w:id="33"/>
      <w:bookmarkEnd w:id="34"/>
      <w:bookmarkEnd w:id="35"/>
      <w:bookmarkEnd w:id="36"/>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38" w:name="_Toc173997435"/>
      <w:r>
        <w:rPr>
          <w:rFonts w:ascii="楷体_GB2312" w:eastAsia="楷体_GB2312" w:hAnsi="楷体_GB2312" w:cs="楷体_GB2312" w:hint="eastAsia"/>
          <w:b/>
          <w:bCs/>
          <w:color w:val="000000" w:themeColor="text1"/>
          <w:sz w:val="32"/>
          <w:szCs w:val="32"/>
        </w:rPr>
        <w:t>（一）直接原因</w:t>
      </w:r>
      <w:bookmarkEnd w:id="37"/>
      <w:bookmarkEnd w:id="38"/>
    </w:p>
    <w:p w:rsidR="00922A32" w:rsidRDefault="00E64766">
      <w:pPr>
        <w:widowControl w:val="0"/>
        <w:spacing w:after="0" w:line="62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lastRenderedPageBreak/>
        <w:t>无特种设备作业人员证的刘状在张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违规</w:t>
      </w:r>
      <w:r>
        <w:rPr>
          <w:rFonts w:ascii="仿宋_GB2312" w:eastAsia="仿宋_GB2312" w:hAnsi="仿宋_GB2312" w:cs="仿宋_GB2312" w:hint="eastAsia"/>
          <w:color w:val="000000" w:themeColor="text1"/>
          <w:sz w:val="32"/>
          <w:szCs w:val="32"/>
        </w:rPr>
        <w:t>翻越司机室护栏及西跨平台护栏</w:t>
      </w:r>
      <w:r>
        <w:rPr>
          <w:rFonts w:ascii="仿宋_GB2312" w:eastAsia="仿宋_GB2312" w:hAnsi="仿宋_GB2312" w:cs="仿宋_GB2312" w:hint="eastAsia"/>
          <w:bCs/>
          <w:color w:val="000000" w:themeColor="text1"/>
          <w:sz w:val="32"/>
          <w:szCs w:val="32"/>
        </w:rPr>
        <w:t>时开动桥式起重机，致使张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重心不稳从</w:t>
      </w:r>
      <w:r>
        <w:rPr>
          <w:rFonts w:ascii="仿宋_GB2312" w:eastAsia="仿宋_GB2312" w:hAnsi="仿宋_GB2312" w:cs="仿宋_GB2312" w:hint="eastAsia"/>
          <w:color w:val="000000" w:themeColor="text1"/>
          <w:sz w:val="32"/>
          <w:szCs w:val="32"/>
        </w:rPr>
        <w:t>司机室护栏与西跨平台护栏间</w:t>
      </w:r>
      <w:r>
        <w:rPr>
          <w:rFonts w:ascii="仿宋_GB2312" w:eastAsia="仿宋_GB2312" w:hAnsi="仿宋_GB2312" w:cs="仿宋_GB2312" w:hint="eastAsia"/>
          <w:bCs/>
          <w:color w:val="000000" w:themeColor="text1"/>
          <w:sz w:val="32"/>
          <w:szCs w:val="32"/>
        </w:rPr>
        <w:t>坠落，导致事故发生。</w:t>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39" w:name="_Toc173997436"/>
      <w:r>
        <w:rPr>
          <w:rFonts w:ascii="楷体_GB2312" w:eastAsia="楷体_GB2312" w:hAnsi="楷体_GB2312" w:cs="楷体_GB2312" w:hint="eastAsia"/>
          <w:b/>
          <w:bCs/>
          <w:color w:val="000000" w:themeColor="text1"/>
          <w:sz w:val="32"/>
          <w:szCs w:val="32"/>
        </w:rPr>
        <w:t>（二）间接原因</w:t>
      </w:r>
      <w:bookmarkEnd w:id="39"/>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1.行为违法。永生伟业公司在刘状无特种设备作业人员证，不具备桥式起重机司机资格且不了解涉事桥式起重机性能的情况下仍然安排刘状从事桥式起重机驾驶、参与管桩吊装作业</w:t>
      </w:r>
      <w:r w:rsidR="004870D2">
        <w:rPr>
          <w:rFonts w:ascii="仿宋_GB2312" w:eastAsia="仿宋_GB2312" w:hAnsi="仿宋_GB2312" w:cs="仿宋_GB2312" w:hint="eastAsia"/>
          <w:bCs/>
          <w:color w:val="000000" w:themeColor="text1"/>
          <w:sz w:val="32"/>
          <w:szCs w:val="32"/>
        </w:rPr>
        <w:t>。</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2.违章作业。张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为了上下起重机方便，未规范使用</w:t>
      </w:r>
      <w:proofErr w:type="gramStart"/>
      <w:r>
        <w:rPr>
          <w:rFonts w:ascii="仿宋_GB2312" w:eastAsia="仿宋_GB2312" w:hAnsi="仿宋_GB2312" w:cs="仿宋_GB2312" w:hint="eastAsia"/>
          <w:bCs/>
          <w:color w:val="000000" w:themeColor="text1"/>
          <w:sz w:val="32"/>
          <w:szCs w:val="32"/>
        </w:rPr>
        <w:t>一</w:t>
      </w:r>
      <w:proofErr w:type="gramEnd"/>
      <w:r>
        <w:rPr>
          <w:rFonts w:ascii="仿宋_GB2312" w:eastAsia="仿宋_GB2312" w:hAnsi="仿宋_GB2312" w:cs="仿宋_GB2312" w:hint="eastAsia"/>
          <w:bCs/>
          <w:color w:val="000000" w:themeColor="text1"/>
          <w:sz w:val="32"/>
          <w:szCs w:val="32"/>
        </w:rPr>
        <w:t>库中跨上下起重机专用平台，而采用违规翻越</w:t>
      </w:r>
      <w:r>
        <w:rPr>
          <w:rFonts w:ascii="仿宋_GB2312" w:eastAsia="仿宋_GB2312" w:hAnsi="仿宋_GB2312" w:cs="仿宋_GB2312" w:hint="eastAsia"/>
          <w:color w:val="000000" w:themeColor="text1"/>
          <w:sz w:val="32"/>
          <w:szCs w:val="32"/>
        </w:rPr>
        <w:t>司机室护栏及西跨平台护栏的方式上下起重机</w:t>
      </w:r>
      <w:r w:rsidR="004870D2">
        <w:rPr>
          <w:rFonts w:ascii="仿宋_GB2312" w:eastAsia="仿宋_GB2312" w:hAnsi="仿宋_GB2312" w:cs="仿宋_GB2312" w:hint="eastAsia"/>
          <w:bCs/>
          <w:color w:val="000000" w:themeColor="text1"/>
          <w:sz w:val="32"/>
          <w:szCs w:val="32"/>
        </w:rPr>
        <w:t>。</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3.使用管理缺失。永生伟业公司安全管理混乱，未落实特种设备安全管理制度、安全巡查制度，起重机械操作规程不健全，隐患排查治理、安全生产岗位责任不明确，未能制止和纠正违章指挥、强令冒险作业等违法违规行为。</w:t>
      </w:r>
    </w:p>
    <w:p w:rsidR="00922A32" w:rsidRDefault="00E64766">
      <w:pPr>
        <w:widowControl w:val="0"/>
        <w:tabs>
          <w:tab w:val="left" w:pos="0"/>
          <w:tab w:val="left" w:pos="1860"/>
        </w:tabs>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4.教育培训缺失。永生伟业公司对从业人员的安全生产教育和培训缺失，未能保证从业人员具备必要的安全生产知识，从业人员不掌握安全生产相关规章制度和安全操作规程。</w:t>
      </w:r>
      <w:bookmarkStart w:id="40" w:name="_Toc14104_WPSOffice_Level2"/>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41" w:name="_Toc173997437"/>
      <w:r>
        <w:rPr>
          <w:rFonts w:ascii="楷体_GB2312" w:eastAsia="楷体_GB2312" w:hAnsi="楷体_GB2312" w:cs="楷体_GB2312" w:hint="eastAsia"/>
          <w:b/>
          <w:bCs/>
          <w:color w:val="000000" w:themeColor="text1"/>
          <w:sz w:val="32"/>
          <w:szCs w:val="32"/>
        </w:rPr>
        <w:t>（三）事故性质</w:t>
      </w:r>
      <w:bookmarkEnd w:id="40"/>
      <w:bookmarkEnd w:id="41"/>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经事故调查组认定，该事故是一起生产安全责任事故（特种设备相关事故）。</w:t>
      </w:r>
    </w:p>
    <w:p w:rsidR="00922A32" w:rsidRDefault="00E64766">
      <w:pPr>
        <w:pStyle w:val="20"/>
        <w:spacing w:line="620" w:lineRule="exact"/>
        <w:rPr>
          <w:b/>
          <w:color w:val="000000" w:themeColor="text1"/>
        </w:rPr>
      </w:pPr>
      <w:bookmarkStart w:id="42" w:name="_Toc173997438"/>
      <w:bookmarkStart w:id="43" w:name="_Toc23747_WPSOffice_Level1"/>
      <w:bookmarkStart w:id="44" w:name="_Toc27461_WPSOffice_Level1"/>
      <w:bookmarkStart w:id="45" w:name="_Toc141372577"/>
      <w:r>
        <w:rPr>
          <w:rFonts w:hint="eastAsia"/>
          <w:color w:val="000000" w:themeColor="text1"/>
        </w:rPr>
        <w:lastRenderedPageBreak/>
        <w:t>五、责任认定及处理建议</w:t>
      </w:r>
      <w:bookmarkEnd w:id="42"/>
      <w:bookmarkEnd w:id="43"/>
      <w:bookmarkEnd w:id="44"/>
      <w:bookmarkEnd w:id="45"/>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46" w:name="_Toc17586_WPSOffice_Level2"/>
      <w:bookmarkStart w:id="47" w:name="_Toc173997439"/>
      <w:r>
        <w:rPr>
          <w:rFonts w:ascii="楷体_GB2312" w:eastAsia="楷体_GB2312" w:hAnsi="楷体_GB2312" w:cs="楷体_GB2312" w:hint="eastAsia"/>
          <w:b/>
          <w:bCs/>
          <w:color w:val="000000" w:themeColor="text1"/>
          <w:sz w:val="32"/>
          <w:szCs w:val="32"/>
        </w:rPr>
        <w:t>（一）事故责任单位的责任认定及处理建议</w:t>
      </w:r>
      <w:bookmarkEnd w:id="46"/>
      <w:bookmarkEnd w:id="47"/>
    </w:p>
    <w:p w:rsidR="00922A32" w:rsidRDefault="00E64766">
      <w:pPr>
        <w:widowControl w:val="0"/>
        <w:spacing w:after="0" w:line="620" w:lineRule="exact"/>
        <w:ind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永生伟业公司</w:t>
      </w: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永生伟业公司</w:t>
      </w:r>
      <w:r>
        <w:rPr>
          <w:rFonts w:ascii="仿宋_GB2312" w:eastAsia="仿宋_GB2312" w:hAnsi="仿宋_GB2312" w:cs="仿宋_GB2312" w:hint="eastAsia"/>
          <w:bCs/>
          <w:color w:val="000000" w:themeColor="text1"/>
          <w:sz w:val="32"/>
          <w:szCs w:val="32"/>
        </w:rPr>
        <w:t>安全管理不到位，安全生产规章制度不健全，安全教育、培训不到位，作业现场无序，档案管理混乱，安全巡查缺失，</w:t>
      </w:r>
      <w:r>
        <w:rPr>
          <w:rFonts w:ascii="仿宋_GB2312" w:eastAsia="仿宋_GB2312" w:hAnsi="仿宋_GB2312" w:cs="仿宋_GB2312" w:hint="eastAsia"/>
          <w:color w:val="000000" w:themeColor="text1"/>
          <w:sz w:val="32"/>
          <w:szCs w:val="32"/>
        </w:rPr>
        <w:t>对事故发生负有责任。</w:t>
      </w:r>
      <w:r>
        <w:rPr>
          <w:rFonts w:ascii="仿宋_GB2312" w:eastAsia="仿宋_GB2312" w:hAnsi="仿宋_GB2312" w:cs="仿宋_GB2312" w:hint="eastAsia"/>
          <w:bCs/>
          <w:color w:val="000000" w:themeColor="text1"/>
          <w:sz w:val="32"/>
          <w:szCs w:val="32"/>
        </w:rPr>
        <w:t>其行为违反了</w:t>
      </w:r>
      <w:r>
        <w:rPr>
          <w:rFonts w:ascii="仿宋_GB2312" w:eastAsia="仿宋_GB2312" w:hAnsi="仿宋_GB2312" w:cs="仿宋_GB2312" w:hint="eastAsia"/>
          <w:color w:val="000000" w:themeColor="text1"/>
          <w:sz w:val="32"/>
          <w:szCs w:val="32"/>
        </w:rPr>
        <w:t>《中华人民共和国特种设备安全法》第七条</w:t>
      </w:r>
      <w:r>
        <w:rPr>
          <w:rStyle w:val="ab"/>
          <w:rFonts w:ascii="仿宋_GB2312" w:eastAsia="仿宋_GB2312" w:hAnsi="仿宋_GB2312" w:cs="仿宋_GB2312" w:hint="eastAsia"/>
          <w:color w:val="000000" w:themeColor="text1"/>
          <w:sz w:val="32"/>
          <w:szCs w:val="32"/>
        </w:rPr>
        <w:t>[</w:t>
      </w:r>
      <w:r>
        <w:rPr>
          <w:rStyle w:val="ab"/>
          <w:rFonts w:ascii="仿宋_GB2312" w:eastAsia="仿宋_GB2312" w:hAnsi="仿宋_GB2312" w:cs="仿宋_GB2312" w:hint="eastAsia"/>
          <w:color w:val="000000" w:themeColor="text1"/>
          <w:sz w:val="32"/>
          <w:szCs w:val="32"/>
        </w:rPr>
        <w:footnoteReference w:id="2"/>
      </w:r>
      <w:r>
        <w:rPr>
          <w:rStyle w:val="ab"/>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、第十三条第一款</w:t>
      </w:r>
      <w:r>
        <w:rPr>
          <w:rStyle w:val="ab"/>
          <w:rFonts w:ascii="仿宋_GB2312" w:eastAsia="仿宋_GB2312" w:hAnsi="仿宋_GB2312" w:cs="仿宋_GB2312" w:hint="eastAsia"/>
          <w:color w:val="000000" w:themeColor="text1"/>
          <w:sz w:val="32"/>
          <w:szCs w:val="32"/>
        </w:rPr>
        <w:t>[</w:t>
      </w:r>
      <w:r>
        <w:rPr>
          <w:rStyle w:val="ab"/>
          <w:rFonts w:ascii="仿宋_GB2312" w:eastAsia="仿宋_GB2312" w:hAnsi="仿宋_GB2312" w:cs="仿宋_GB2312" w:hint="eastAsia"/>
          <w:color w:val="000000" w:themeColor="text1"/>
          <w:sz w:val="32"/>
          <w:szCs w:val="32"/>
        </w:rPr>
        <w:footnoteReference w:id="3"/>
      </w:r>
      <w:r>
        <w:rPr>
          <w:rStyle w:val="ab"/>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之规定。建议天津市滨海新区市场监督管理局依据《中华人民共和国特种设备安全法》第九十条第（一）项</w:t>
      </w:r>
      <w:r>
        <w:rPr>
          <w:rStyle w:val="ab"/>
          <w:rFonts w:ascii="仿宋_GB2312" w:eastAsia="仿宋_GB2312" w:hAnsi="仿宋_GB2312" w:cs="仿宋_GB2312" w:hint="eastAsia"/>
          <w:color w:val="000000" w:themeColor="text1"/>
          <w:sz w:val="32"/>
          <w:szCs w:val="32"/>
        </w:rPr>
        <w:t>[</w:t>
      </w:r>
      <w:r>
        <w:rPr>
          <w:rStyle w:val="ab"/>
          <w:rFonts w:ascii="仿宋_GB2312" w:eastAsia="仿宋_GB2312" w:hAnsi="仿宋_GB2312" w:cs="仿宋_GB2312" w:hint="eastAsia"/>
          <w:color w:val="000000" w:themeColor="text1"/>
          <w:sz w:val="32"/>
          <w:szCs w:val="32"/>
        </w:rPr>
        <w:footnoteReference w:id="4"/>
      </w:r>
      <w:r>
        <w:rPr>
          <w:rStyle w:val="ab"/>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之规定对其进行行政处罚。</w:t>
      </w:r>
    </w:p>
    <w:p w:rsidR="00922A32" w:rsidRDefault="00E64766">
      <w:pPr>
        <w:widowControl w:val="0"/>
        <w:spacing w:after="0" w:line="620" w:lineRule="exact"/>
        <w:ind w:firstLineChars="200" w:firstLine="643"/>
        <w:outlineLvl w:val="1"/>
        <w:rPr>
          <w:rFonts w:ascii="楷体_GB2312" w:eastAsia="楷体_GB2312" w:hAnsi="楷体_GB2312" w:cs="楷体_GB2312"/>
          <w:b/>
          <w:bCs/>
          <w:color w:val="000000" w:themeColor="text1"/>
          <w:sz w:val="32"/>
          <w:szCs w:val="32"/>
        </w:rPr>
      </w:pPr>
      <w:bookmarkStart w:id="48" w:name="_Toc1984_WPSOffice_Level2"/>
      <w:bookmarkStart w:id="49" w:name="_Toc173997440"/>
      <w:r>
        <w:rPr>
          <w:rFonts w:ascii="楷体_GB2312" w:eastAsia="楷体_GB2312" w:hAnsi="楷体_GB2312" w:cs="楷体_GB2312" w:hint="eastAsia"/>
          <w:b/>
          <w:bCs/>
          <w:color w:val="000000" w:themeColor="text1"/>
          <w:sz w:val="32"/>
          <w:szCs w:val="32"/>
        </w:rPr>
        <w:t>（二）事故责任人员的责任认定及处理建议</w:t>
      </w:r>
      <w:bookmarkEnd w:id="48"/>
      <w:bookmarkEnd w:id="49"/>
    </w:p>
    <w:p w:rsidR="00922A32" w:rsidRDefault="00E64766">
      <w:pPr>
        <w:widowControl w:val="0"/>
        <w:spacing w:after="0" w:line="620" w:lineRule="exact"/>
        <w:ind w:firstLineChars="200" w:firstLine="643"/>
        <w:jc w:val="both"/>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32"/>
          <w:szCs w:val="32"/>
        </w:rPr>
        <w:t>1.刘状</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刘状在未持特种设备作业人员证，不具备资格且不了解涉事桥式起重机性能的情况下，违法驾驶桥式起重机导致张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死亡，对事故的发生负有主要责任。建议区公安局依法对其追究刑事责任。</w:t>
      </w:r>
    </w:p>
    <w:p w:rsidR="00922A32" w:rsidRDefault="00E64766">
      <w:pPr>
        <w:pStyle w:val="2"/>
        <w:spacing w:line="620" w:lineRule="exact"/>
        <w:ind w:leftChars="0" w:left="0"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2.杜文辉</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color w:val="000000" w:themeColor="text1"/>
          <w:sz w:val="32"/>
          <w:szCs w:val="32"/>
        </w:rPr>
        <w:t>杜文辉作为永生伟业公司安全生产主要负责人，</w:t>
      </w:r>
      <w:r>
        <w:rPr>
          <w:rFonts w:ascii="仿宋_GB2312" w:eastAsia="仿宋_GB2312" w:hAnsi="仿宋_GB2312" w:cs="仿宋_GB2312" w:hint="eastAsia"/>
          <w:bCs/>
          <w:color w:val="000000" w:themeColor="text1"/>
          <w:sz w:val="32"/>
          <w:szCs w:val="32"/>
        </w:rPr>
        <w:t>督促、检</w:t>
      </w:r>
      <w:r>
        <w:rPr>
          <w:rFonts w:ascii="仿宋_GB2312" w:eastAsia="仿宋_GB2312" w:hAnsi="仿宋_GB2312" w:cs="仿宋_GB2312" w:hint="eastAsia"/>
          <w:bCs/>
          <w:color w:val="000000" w:themeColor="text1"/>
          <w:sz w:val="32"/>
          <w:szCs w:val="32"/>
        </w:rPr>
        <w:lastRenderedPageBreak/>
        <w:t>查本单位安全生产工作不力，对安全生产责任制、安全生产规章制度的建立健全及落实监督、检查不到位，对现场作业存在的安全风险未能及时排查，在明知刘状无特种设备作业人员证的情况下，仍然允许刘状自2024年4月起驾驶桥式起重机，对该起事故负有主要责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Cs/>
          <w:color w:val="000000" w:themeColor="text1"/>
          <w:sz w:val="32"/>
          <w:szCs w:val="32"/>
        </w:rPr>
        <w:t>建议区公安局依法对其追究刑事责任。</w:t>
      </w:r>
    </w:p>
    <w:p w:rsidR="00922A32" w:rsidRDefault="00E64766">
      <w:pPr>
        <w:pStyle w:val="2"/>
        <w:spacing w:line="620" w:lineRule="exact"/>
        <w:ind w:leftChars="0" w:left="0"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3.吴秀敏</w:t>
      </w: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Cs/>
          <w:color w:val="000000" w:themeColor="text1"/>
          <w:sz w:val="32"/>
          <w:szCs w:val="32"/>
        </w:rPr>
        <w:t>吴秀敏作为永生伟业公司法定代表人，全面负责本单位的安全生产工作，督促、检查本单位安全生产工作不力，对该起事故负有主要领导责任</w:t>
      </w:r>
      <w:r>
        <w:rPr>
          <w:rFonts w:ascii="仿宋_GB2312" w:eastAsia="仿宋_GB2312" w:hAnsi="仿宋_GB2312" w:cs="仿宋_GB2312" w:hint="eastAsia"/>
          <w:color w:val="000000" w:themeColor="text1"/>
          <w:sz w:val="32"/>
          <w:szCs w:val="32"/>
        </w:rPr>
        <w:t>。其行为违反了《中华人民共和国特种设备安全法》第十三条第一款之规定。</w:t>
      </w:r>
      <w:r>
        <w:rPr>
          <w:rFonts w:ascii="仿宋_GB2312" w:eastAsia="仿宋_GB2312" w:hAnsi="仿宋_GB2312" w:cs="仿宋_GB2312" w:hint="eastAsia"/>
          <w:bCs/>
          <w:color w:val="000000" w:themeColor="text1"/>
          <w:sz w:val="32"/>
          <w:szCs w:val="32"/>
        </w:rPr>
        <w:t>建议天津市滨海新区市场监督管理局依据《中华人民共和国特种设备安全法》</w:t>
      </w:r>
      <w:r>
        <w:rPr>
          <w:rFonts w:ascii="仿宋_GB2312" w:eastAsia="仿宋_GB2312" w:hAnsi="仿宋_GB2312" w:cs="仿宋_GB2312" w:hint="eastAsia"/>
          <w:color w:val="000000" w:themeColor="text1"/>
          <w:sz w:val="32"/>
          <w:szCs w:val="32"/>
        </w:rPr>
        <w:t>第九十一条第（一）项</w:t>
      </w:r>
      <w:r>
        <w:rPr>
          <w:rStyle w:val="ab"/>
          <w:rFonts w:ascii="仿宋_GB2312" w:eastAsia="仿宋_GB2312" w:hAnsi="仿宋_GB2312" w:cs="仿宋_GB2312" w:hint="eastAsia"/>
          <w:color w:val="000000" w:themeColor="text1"/>
          <w:sz w:val="32"/>
          <w:szCs w:val="32"/>
        </w:rPr>
        <w:t>[</w:t>
      </w:r>
      <w:r>
        <w:rPr>
          <w:rStyle w:val="ab"/>
          <w:rFonts w:ascii="仿宋_GB2312" w:eastAsia="仿宋_GB2312" w:hAnsi="仿宋_GB2312" w:cs="仿宋_GB2312" w:hint="eastAsia"/>
          <w:color w:val="000000" w:themeColor="text1"/>
          <w:sz w:val="32"/>
          <w:szCs w:val="32"/>
        </w:rPr>
        <w:footnoteReference w:id="5"/>
      </w:r>
      <w:r>
        <w:rPr>
          <w:rStyle w:val="ab"/>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之规定对其进行行政处罚。</w:t>
      </w:r>
    </w:p>
    <w:p w:rsidR="00922A32" w:rsidRDefault="00E64766">
      <w:pPr>
        <w:widowControl w:val="0"/>
        <w:spacing w:after="0" w:line="620" w:lineRule="exact"/>
        <w:ind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4.张</w:t>
      </w:r>
      <w:proofErr w:type="gramStart"/>
      <w:r>
        <w:rPr>
          <w:rFonts w:ascii="仿宋_GB2312" w:eastAsia="仿宋_GB2312" w:hAnsi="仿宋_GB2312" w:cs="仿宋_GB2312" w:hint="eastAsia"/>
          <w:b/>
          <w:bCs/>
          <w:color w:val="000000" w:themeColor="text1"/>
          <w:sz w:val="32"/>
          <w:szCs w:val="32"/>
        </w:rPr>
        <w:t>玻</w:t>
      </w:r>
      <w:proofErr w:type="gramEnd"/>
    </w:p>
    <w:p w:rsidR="00922A32" w:rsidRDefault="00E64766">
      <w:pPr>
        <w:widowControl w:val="0"/>
        <w:tabs>
          <w:tab w:val="left" w:pos="0"/>
          <w:tab w:val="left" w:pos="1860"/>
        </w:tabs>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张</w:t>
      </w:r>
      <w:proofErr w:type="gramStart"/>
      <w:r>
        <w:rPr>
          <w:rFonts w:ascii="仿宋_GB2312" w:eastAsia="仿宋_GB2312" w:hAnsi="仿宋_GB2312" w:cs="仿宋_GB2312" w:hint="eastAsia"/>
          <w:bCs/>
          <w:color w:val="000000" w:themeColor="text1"/>
          <w:sz w:val="32"/>
          <w:szCs w:val="32"/>
        </w:rPr>
        <w:t>玻</w:t>
      </w:r>
      <w:proofErr w:type="gramEnd"/>
      <w:r>
        <w:rPr>
          <w:rFonts w:ascii="仿宋_GB2312" w:eastAsia="仿宋_GB2312" w:hAnsi="仿宋_GB2312" w:cs="仿宋_GB2312" w:hint="eastAsia"/>
          <w:bCs/>
          <w:color w:val="000000" w:themeColor="text1"/>
          <w:sz w:val="32"/>
          <w:szCs w:val="32"/>
        </w:rPr>
        <w:t>作为桥式起重机司机，违反单位操作规程，未规范使用</w:t>
      </w:r>
      <w:proofErr w:type="gramStart"/>
      <w:r>
        <w:rPr>
          <w:rFonts w:ascii="仿宋_GB2312" w:eastAsia="仿宋_GB2312" w:hAnsi="仿宋_GB2312" w:cs="仿宋_GB2312" w:hint="eastAsia"/>
          <w:bCs/>
          <w:color w:val="000000" w:themeColor="text1"/>
          <w:sz w:val="32"/>
          <w:szCs w:val="32"/>
        </w:rPr>
        <w:t>一</w:t>
      </w:r>
      <w:proofErr w:type="gramEnd"/>
      <w:r>
        <w:rPr>
          <w:rFonts w:ascii="仿宋_GB2312" w:eastAsia="仿宋_GB2312" w:hAnsi="仿宋_GB2312" w:cs="仿宋_GB2312" w:hint="eastAsia"/>
          <w:bCs/>
          <w:color w:val="000000" w:themeColor="text1"/>
          <w:sz w:val="32"/>
          <w:szCs w:val="32"/>
        </w:rPr>
        <w:t>库中跨上下起重机专用平台，违规翻越司机室护栏及西跨平台护栏，对事故的发生负有责任。鉴于其已在事故中死亡，不再追究其责任。</w:t>
      </w:r>
    </w:p>
    <w:p w:rsidR="00922A32" w:rsidRDefault="00E64766">
      <w:pPr>
        <w:widowControl w:val="0"/>
        <w:spacing w:after="0" w:line="620" w:lineRule="exact"/>
        <w:ind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lastRenderedPageBreak/>
        <w:t>5.王珂</w:t>
      </w:r>
    </w:p>
    <w:p w:rsidR="00922A32" w:rsidRDefault="00E64766">
      <w:pPr>
        <w:widowControl w:val="0"/>
        <w:spacing w:after="0" w:line="620" w:lineRule="exact"/>
        <w:ind w:firstLineChars="200" w:firstLine="640"/>
        <w:jc w:val="both"/>
        <w:rPr>
          <w:color w:val="000000" w:themeColor="text1"/>
        </w:rPr>
      </w:pPr>
      <w:r>
        <w:rPr>
          <w:rFonts w:ascii="仿宋_GB2312" w:eastAsia="仿宋_GB2312" w:hAnsi="仿宋_GB2312" w:cs="仿宋_GB2312" w:hint="eastAsia"/>
          <w:color w:val="000000" w:themeColor="text1"/>
          <w:sz w:val="32"/>
          <w:szCs w:val="32"/>
        </w:rPr>
        <w:t>王珂作为露天成品堆场班长，事发当天违规安排刘状顶替张</w:t>
      </w:r>
      <w:proofErr w:type="gramStart"/>
      <w:r>
        <w:rPr>
          <w:rFonts w:ascii="仿宋_GB2312" w:eastAsia="仿宋_GB2312" w:hAnsi="仿宋_GB2312" w:cs="仿宋_GB2312" w:hint="eastAsia"/>
          <w:color w:val="000000" w:themeColor="text1"/>
          <w:sz w:val="32"/>
          <w:szCs w:val="32"/>
        </w:rPr>
        <w:t>玻</w:t>
      </w:r>
      <w:proofErr w:type="gramEnd"/>
      <w:r>
        <w:rPr>
          <w:rFonts w:ascii="仿宋_GB2312" w:eastAsia="仿宋_GB2312" w:hAnsi="仿宋_GB2312" w:cs="仿宋_GB2312" w:hint="eastAsia"/>
          <w:color w:val="000000" w:themeColor="text1"/>
          <w:sz w:val="32"/>
          <w:szCs w:val="32"/>
        </w:rPr>
        <w:t>桥式起重机司机工作，对事故的发生负有责任。</w:t>
      </w:r>
      <w:r>
        <w:rPr>
          <w:rFonts w:ascii="仿宋_GB2312" w:eastAsia="仿宋_GB2312" w:hAnsi="仿宋_GB2312" w:cs="仿宋_GB2312" w:hint="eastAsia"/>
          <w:bCs/>
          <w:color w:val="000000" w:themeColor="text1"/>
          <w:sz w:val="32"/>
          <w:szCs w:val="32"/>
        </w:rPr>
        <w:t>建议永生伟业公司内部对其</w:t>
      </w:r>
      <w:proofErr w:type="gramStart"/>
      <w:r>
        <w:rPr>
          <w:rFonts w:ascii="仿宋_GB2312" w:eastAsia="仿宋_GB2312" w:hAnsi="仿宋_GB2312" w:cs="仿宋_GB2312" w:hint="eastAsia"/>
          <w:bCs/>
          <w:color w:val="000000" w:themeColor="text1"/>
          <w:sz w:val="32"/>
          <w:szCs w:val="32"/>
        </w:rPr>
        <w:t>作出</w:t>
      </w:r>
      <w:proofErr w:type="gramEnd"/>
      <w:r>
        <w:rPr>
          <w:rFonts w:ascii="仿宋_GB2312" w:eastAsia="仿宋_GB2312" w:hAnsi="仿宋_GB2312" w:cs="仿宋_GB2312" w:hint="eastAsia"/>
          <w:bCs/>
          <w:color w:val="000000" w:themeColor="text1"/>
          <w:sz w:val="32"/>
          <w:szCs w:val="32"/>
        </w:rPr>
        <w:t>处理。</w:t>
      </w:r>
    </w:p>
    <w:p w:rsidR="00922A32" w:rsidRDefault="00E64766">
      <w:pPr>
        <w:pStyle w:val="20"/>
        <w:spacing w:line="620" w:lineRule="exact"/>
        <w:rPr>
          <w:color w:val="000000" w:themeColor="text1"/>
        </w:rPr>
      </w:pPr>
      <w:bookmarkStart w:id="50" w:name="_Toc8023_WPSOffice_Level1"/>
      <w:bookmarkStart w:id="51" w:name="_Toc6706_WPSOffice_Level1"/>
      <w:bookmarkStart w:id="52" w:name="_Toc173997441"/>
      <w:bookmarkStart w:id="53" w:name="_Toc141372578"/>
      <w:r>
        <w:rPr>
          <w:rFonts w:hint="eastAsia"/>
          <w:color w:val="000000" w:themeColor="text1"/>
        </w:rPr>
        <w:t>六、事故防范和整改措施</w:t>
      </w:r>
      <w:bookmarkEnd w:id="50"/>
      <w:bookmarkEnd w:id="51"/>
      <w:bookmarkEnd w:id="52"/>
      <w:bookmarkEnd w:id="53"/>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针对此起事故暴露出的突出问题，为深刻吸取事故教训，进一步加强企业安全生产工作，有效防范生产安全事故的重复发生，提出如下整改措施建议：</w:t>
      </w:r>
    </w:p>
    <w:p w:rsidR="00922A32" w:rsidRDefault="00E64766">
      <w:pPr>
        <w:pStyle w:val="20"/>
        <w:spacing w:line="620" w:lineRule="exact"/>
        <w:ind w:firstLine="643"/>
        <w:rPr>
          <w:rFonts w:ascii="仿宋_GB2312" w:eastAsia="仿宋_GB2312" w:hAnsi="仿宋_GB2312" w:cs="仿宋_GB2312"/>
          <w:b/>
          <w:bCs w:val="0"/>
          <w:color w:val="000000" w:themeColor="text1"/>
        </w:rPr>
      </w:pPr>
      <w:bookmarkStart w:id="54" w:name="_Toc173997442"/>
      <w:r>
        <w:rPr>
          <w:rFonts w:ascii="仿宋_GB2312" w:eastAsia="仿宋_GB2312" w:hAnsi="仿宋_GB2312" w:cs="仿宋_GB2312" w:hint="eastAsia"/>
          <w:b/>
          <w:bCs w:val="0"/>
          <w:color w:val="000000" w:themeColor="text1"/>
        </w:rPr>
        <w:t>永生伟业公司</w:t>
      </w:r>
      <w:bookmarkEnd w:id="54"/>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强化安全生产红线意识。要牢固树立安全生产发展理念和红线意识，认真学习贯彻《中华人民共和国安全生产法》《中华人民共和国特种设备安全法》等法律法规，举一反三，全面落实企业安全生产主体责任，认真做好各项安全生产工作。</w:t>
      </w:r>
      <w:bookmarkStart w:id="55" w:name="_Toc4660_WPSOffice_Level2"/>
    </w:p>
    <w:bookmarkEnd w:id="55"/>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2.建立健全全员安全生产责任制和安全生产规章制度。要加大对安全生产资金、物资、技术、人员的投入保障力度，改善安全生产条件，严格执行各项安全生产制度，切实提高安全生产水平，确保安全生产。</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3.构建安全风险分级管控和隐患排查治理双重预防机制。对作业现场进行危险源辨识和风险评估，建立隐患排查制度并做好日常隐患排查记录，建立隐患排查治理档案；加强现场巡</w:t>
      </w:r>
      <w:r>
        <w:rPr>
          <w:rFonts w:ascii="仿宋_GB2312" w:eastAsia="仿宋_GB2312" w:hAnsi="仿宋_GB2312" w:cs="仿宋_GB2312" w:hint="eastAsia"/>
          <w:bCs/>
          <w:color w:val="000000" w:themeColor="text1"/>
          <w:sz w:val="32"/>
          <w:szCs w:val="32"/>
        </w:rPr>
        <w:lastRenderedPageBreak/>
        <w:t>查力度，及时发现和整改作业过程中存在的安全隐患。</w:t>
      </w:r>
    </w:p>
    <w:p w:rsidR="00922A32" w:rsidRDefault="00E64766">
      <w:pPr>
        <w:widowControl w:val="0"/>
        <w:spacing w:after="0" w:line="62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4.建立健全教育培训机制。要加大对单位员工的安全生产规章制度和安全操作规程及技能的教育和培训；同时，培训教育要有针对性，采取多种培训形式提高培训质量和效果。</w:t>
      </w:r>
    </w:p>
    <w:p w:rsidR="00922A32" w:rsidRDefault="00E64766">
      <w:pPr>
        <w:pStyle w:val="2"/>
        <w:spacing w:line="620" w:lineRule="exact"/>
        <w:ind w:leftChars="0" w:left="0" w:firstLineChars="200" w:firstLine="640"/>
        <w:rPr>
          <w:color w:val="000000" w:themeColor="text1"/>
        </w:rPr>
      </w:pPr>
      <w:r>
        <w:rPr>
          <w:rFonts w:ascii="仿宋_GB2312" w:eastAsia="仿宋_GB2312" w:hAnsi="仿宋_GB2312" w:cs="仿宋_GB2312" w:hint="eastAsia"/>
          <w:bCs/>
          <w:color w:val="000000" w:themeColor="text1"/>
          <w:sz w:val="32"/>
          <w:szCs w:val="32"/>
        </w:rPr>
        <w:t>5.完善特种设备安全管理体系。明确管理部门层级架构，贯彻执行特种设备有关法律、法规和安全技术规范及相关标准；加强特种设备作业人员管理，严禁无证作业；强化档案管理，逐台梳理特种设备档案，查漏补缺。</w:t>
      </w:r>
    </w:p>
    <w:p w:rsidR="00922A32" w:rsidRDefault="00E64766">
      <w:pPr>
        <w:widowControl w:val="0"/>
        <w:spacing w:after="0" w:line="62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Cs/>
          <w:color w:val="000000" w:themeColor="text1"/>
          <w:sz w:val="32"/>
          <w:szCs w:val="32"/>
        </w:rPr>
        <w:t>永生伟业公司要按照滨海新区人民政府批复的事故调查报告处理意见，依法依规进行处理，落实整改措施。在接到事故调查报告后30日内，将整改落实情况报送天津市滨海新区市场监督管理局。</w:t>
      </w:r>
    </w:p>
    <w:p w:rsidR="00922A32" w:rsidRDefault="00922A32">
      <w:pPr>
        <w:spacing w:line="620" w:lineRule="exact"/>
        <w:ind w:firstLineChars="200" w:firstLine="640"/>
        <w:jc w:val="center"/>
        <w:rPr>
          <w:rFonts w:ascii="仿宋_GB2312" w:eastAsia="仿宋_GB2312" w:hAnsi="仿宋_GB2312" w:cs="仿宋_GB2312"/>
          <w:color w:val="000000" w:themeColor="text1"/>
          <w:sz w:val="32"/>
          <w:szCs w:val="32"/>
        </w:rPr>
      </w:pPr>
    </w:p>
    <w:p w:rsidR="00922A32" w:rsidRDefault="00E64766">
      <w:pPr>
        <w:spacing w:line="620" w:lineRule="exact"/>
        <w:ind w:firstLineChars="200" w:firstLine="64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事故调查组</w:t>
      </w:r>
    </w:p>
    <w:p w:rsidR="00922A32" w:rsidRDefault="00E64766">
      <w:pPr>
        <w:spacing w:line="620" w:lineRule="exact"/>
        <w:ind w:firstLineChars="200" w:firstLine="640"/>
        <w:jc w:val="both"/>
        <w:rPr>
          <w:color w:val="000000" w:themeColor="text1"/>
        </w:rPr>
      </w:pPr>
      <w:r>
        <w:rPr>
          <w:rFonts w:ascii="仿宋_GB2312" w:eastAsia="仿宋_GB2312" w:hAnsi="仿宋_GB2312" w:cs="仿宋_GB2312" w:hint="eastAsia"/>
          <w:color w:val="000000" w:themeColor="text1"/>
          <w:sz w:val="32"/>
          <w:szCs w:val="32"/>
        </w:rPr>
        <w:t xml:space="preserve">                            2024年8月8 日</w:t>
      </w:r>
    </w:p>
    <w:sectPr w:rsidR="00922A32">
      <w:footerReference w:type="default" r:id="rId14"/>
      <w:footnotePr>
        <w:numRestart w:val="eachPage"/>
      </w:footnotePr>
      <w:pgSz w:w="11906" w:h="16838"/>
      <w:pgMar w:top="2098" w:right="1474" w:bottom="1984" w:left="1587" w:header="708" w:footer="708" w:gutter="0"/>
      <w:pgNumType w:start="1"/>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DEC" w:rsidRDefault="002D6DEC">
      <w:pPr>
        <w:spacing w:after="0"/>
      </w:pPr>
      <w:r>
        <w:separator/>
      </w:r>
    </w:p>
  </w:endnote>
  <w:endnote w:type="continuationSeparator" w:id="0">
    <w:p w:rsidR="002D6DEC" w:rsidRDefault="002D6D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32" w:rsidRDefault="00922A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32" w:rsidRDefault="009D2F61">
    <w:pPr>
      <w:pStyle w:val="a5"/>
      <w:ind w:firstLine="361"/>
    </w:pPr>
    <w:r>
      <w:pict>
        <v:shapetype id="_x0000_t202" coordsize="21600,21600" o:spt="202" path="m,l,21600r21600,l21600,xe">
          <v:stroke joinstyle="miter"/>
          <v:path gradientshapeok="t" o:connecttype="rect"/>
        </v:shapetype>
        <v:shape id="Text Box 1026" o:spid="_x0000_s2049" type="#_x0000_t202" style="position:absolute;left:0;text-align:left;margin-left:0;margin-top:0;width:22.05pt;height:20.85pt;z-index:251659264;mso-position-horizontal:center;mso-position-horizontal-relative:margin;mso-width-relative:page;mso-height-relative:page" o:gfxdata="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u0Op0QAAAAMBAAAPAAAAAAAAAAEAIAAAACIAAABkcnMvZG93bnJldi54bWxQSwECFAAUAAAACACH&#10;TuJAlIZHm7kBAACNAwAADgAAAAAAAAABACAAAAAgAQAAZHJzL2Uyb0RvYy54bWxQSwUGAAAAAAYA&#10;BgBZAQAASwUAAAAA&#10;" filled="f" stroked="f">
          <v:textbox style="mso-fit-shape-to-text:t" inset="0,0,0,0">
            <w:txbxContent>
              <w:p w:rsidR="00922A32" w:rsidRDefault="00E64766">
                <w:pPr>
                  <w:pStyle w:val="a5"/>
                  <w:rPr>
                    <w:rFonts w:ascii="仿宋_GB2312" w:eastAsia="仿宋_GB2312" w:hAnsi="仿宋_GB2312" w:cs="仿宋_GB2312"/>
                    <w:sz w:val="24"/>
                    <w:szCs w:val="24"/>
                  </w:rPr>
                </w:pPr>
                <w:r>
                  <w:rPr>
                    <w:rFonts w:ascii="仿宋_GB2312" w:eastAsia="仿宋_GB2312" w:hAnsi="仿宋_GB2312" w:cs="仿宋_GB2312" w:hint="eastAsia"/>
                    <w:sz w:val="24"/>
                    <w:szCs w:val="24"/>
                  </w:rPr>
                  <w:fldChar w:fldCharType="begin"/>
                </w:r>
                <w:r>
                  <w:rPr>
                    <w:rFonts w:ascii="仿宋_GB2312" w:eastAsia="仿宋_GB2312" w:hAnsi="仿宋_GB2312" w:cs="仿宋_GB2312" w:hint="eastAsia"/>
                    <w:sz w:val="24"/>
                    <w:szCs w:val="24"/>
                  </w:rPr>
                  <w:instrText xml:space="preserve"> PAGE  \* MERGEFORMAT </w:instrText>
                </w:r>
                <w:r>
                  <w:rPr>
                    <w:rFonts w:ascii="仿宋_GB2312" w:eastAsia="仿宋_GB2312" w:hAnsi="仿宋_GB2312" w:cs="仿宋_GB2312" w:hint="eastAsia"/>
                    <w:sz w:val="24"/>
                    <w:szCs w:val="24"/>
                  </w:rPr>
                  <w:fldChar w:fldCharType="separate"/>
                </w:r>
                <w:r w:rsidR="009D2F61">
                  <w:rPr>
                    <w:rFonts w:ascii="仿宋_GB2312" w:eastAsia="仿宋_GB2312" w:hAnsi="仿宋_GB2312" w:cs="仿宋_GB2312"/>
                    <w:noProof/>
                    <w:sz w:val="24"/>
                    <w:szCs w:val="24"/>
                  </w:rPr>
                  <w:t>1</w:t>
                </w:r>
                <w:r>
                  <w:rPr>
                    <w:rFonts w:ascii="仿宋_GB2312" w:eastAsia="仿宋_GB2312" w:hAnsi="仿宋_GB2312" w:cs="仿宋_GB2312" w:hint="eastAsia"/>
                    <w:sz w:val="24"/>
                    <w:szCs w:val="24"/>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DEC" w:rsidRDefault="002D6DEC">
      <w:pPr>
        <w:spacing w:after="0"/>
      </w:pPr>
      <w:r>
        <w:separator/>
      </w:r>
    </w:p>
  </w:footnote>
  <w:footnote w:type="continuationSeparator" w:id="0">
    <w:p w:rsidR="002D6DEC" w:rsidRDefault="002D6DEC">
      <w:pPr>
        <w:spacing w:after="0"/>
      </w:pPr>
      <w:r>
        <w:continuationSeparator/>
      </w:r>
    </w:p>
  </w:footnote>
  <w:footnote w:id="1">
    <w:p w:rsidR="00922A32" w:rsidRDefault="00E64766">
      <w:pPr>
        <w:widowControl w:val="0"/>
        <w:spacing w:after="0"/>
        <w:ind w:firstLineChars="200" w:firstLine="360"/>
        <w:rPr>
          <w:rFonts w:ascii="Times New Roman" w:eastAsia="宋体" w:hAnsi="Times New Roman" w:cs="Times New Roman"/>
          <w:kern w:val="2"/>
          <w:sz w:val="18"/>
          <w:szCs w:val="24"/>
        </w:rPr>
      </w:pPr>
      <w:r>
        <w:rPr>
          <w:rFonts w:ascii="Times New Roman" w:eastAsia="宋体" w:hAnsi="Times New Roman" w:cs="Times New Roman" w:hint="eastAsia"/>
          <w:kern w:val="2"/>
          <w:sz w:val="18"/>
          <w:szCs w:val="24"/>
        </w:rPr>
        <w:t>[</w:t>
      </w:r>
      <w:r>
        <w:rPr>
          <w:rFonts w:ascii="Times New Roman" w:eastAsia="宋体" w:hAnsi="Times New Roman" w:cs="Times New Roman" w:hint="eastAsia"/>
          <w:kern w:val="2"/>
          <w:sz w:val="18"/>
          <w:szCs w:val="24"/>
        </w:rPr>
        <w:footnoteRef/>
      </w:r>
      <w:r>
        <w:rPr>
          <w:rFonts w:ascii="Times New Roman" w:eastAsia="宋体" w:hAnsi="Times New Roman" w:cs="Times New Roman" w:hint="eastAsia"/>
          <w:kern w:val="2"/>
          <w:sz w:val="18"/>
          <w:szCs w:val="24"/>
        </w:rPr>
        <w:t xml:space="preserve">] </w:t>
      </w:r>
      <w:r>
        <w:rPr>
          <w:rFonts w:ascii="Times New Roman" w:eastAsia="宋体" w:hAnsi="Times New Roman" w:cs="Times New Roman" w:hint="eastAsia"/>
          <w:kern w:val="2"/>
          <w:sz w:val="18"/>
          <w:szCs w:val="24"/>
        </w:rPr>
        <w:t>根据《特种设备作业人员考核规则》（</w:t>
      </w:r>
      <w:r>
        <w:rPr>
          <w:rFonts w:ascii="Times New Roman" w:eastAsia="宋体" w:hAnsi="Times New Roman" w:cs="Times New Roman" w:hint="eastAsia"/>
          <w:kern w:val="2"/>
          <w:sz w:val="18"/>
          <w:szCs w:val="24"/>
        </w:rPr>
        <w:t>TSGZ6001-2019</w:t>
      </w:r>
      <w:r>
        <w:rPr>
          <w:rFonts w:ascii="Times New Roman" w:eastAsia="宋体" w:hAnsi="Times New Roman" w:cs="Times New Roman" w:hint="eastAsia"/>
          <w:kern w:val="2"/>
          <w:sz w:val="18"/>
          <w:szCs w:val="24"/>
        </w:rPr>
        <w:t>）规定：桥式起重机司机（司机室操作）需要取得《特种设备作业人员证》。</w:t>
      </w:r>
    </w:p>
    <w:p w:rsidR="00922A32" w:rsidRDefault="00922A32">
      <w:pPr>
        <w:pStyle w:val="a7"/>
      </w:pPr>
    </w:p>
  </w:footnote>
  <w:footnote w:id="2">
    <w:p w:rsidR="00922A32" w:rsidRDefault="00E64766">
      <w:pPr>
        <w:pStyle w:val="a7"/>
        <w:widowControl w:val="0"/>
        <w:adjustRightInd/>
        <w:spacing w:after="0"/>
      </w:pPr>
      <w:r>
        <w:rPr>
          <w:rStyle w:val="ab"/>
        </w:rPr>
        <w:t>[</w:t>
      </w:r>
      <w:r>
        <w:rPr>
          <w:rStyle w:val="ab"/>
        </w:rPr>
        <w:footnoteRef/>
      </w:r>
      <w:r>
        <w:rPr>
          <w:rStyle w:val="ab"/>
        </w:rPr>
        <w:t>]</w:t>
      </w:r>
      <w:r>
        <w:rPr>
          <w:rFonts w:ascii="Times New Roman" w:eastAsia="宋体" w:hAnsi="Times New Roman" w:cs="Times New Roman" w:hint="eastAsia"/>
          <w:kern w:val="2"/>
          <w:szCs w:val="24"/>
        </w:rPr>
        <w:t>《中华人民共和国特种设备安全法》第七条：特种设备生产、经营、使用单位应当遵守本法和其他有关法律、法规，建立、健全特种设备安全和节能责任制度，加强特种设备安全和节能管理，确保特种设备生产、经营、使用安全，符合节能要求。</w:t>
      </w:r>
    </w:p>
  </w:footnote>
  <w:footnote w:id="3">
    <w:p w:rsidR="00922A32" w:rsidRDefault="00E64766">
      <w:pPr>
        <w:pStyle w:val="a7"/>
        <w:widowControl w:val="0"/>
        <w:adjustRightInd/>
        <w:spacing w:after="0"/>
      </w:pPr>
      <w:r>
        <w:rPr>
          <w:rStyle w:val="ab"/>
        </w:rPr>
        <w:t>[</w:t>
      </w:r>
      <w:r>
        <w:rPr>
          <w:rStyle w:val="ab"/>
        </w:rPr>
        <w:footnoteRef/>
      </w:r>
      <w:r>
        <w:rPr>
          <w:rStyle w:val="ab"/>
        </w:rPr>
        <w:t>]</w:t>
      </w:r>
      <w:r>
        <w:rPr>
          <w:rFonts w:ascii="Times New Roman" w:eastAsia="宋体" w:hAnsi="Times New Roman" w:cs="Times New Roman" w:hint="eastAsia"/>
          <w:kern w:val="2"/>
          <w:szCs w:val="24"/>
        </w:rPr>
        <w:t>《中华人民共和国特种设备安全法》第十三条第一款：</w:t>
      </w:r>
      <w:r>
        <w:rPr>
          <w:rFonts w:ascii="宋体" w:eastAsia="宋体" w:hAnsi="宋体" w:cs="宋体" w:hint="eastAsia"/>
        </w:rPr>
        <w:t>特种设备生产、经营、使用单位及其主要负责人对其生产、经营、使用的特种设备安全负责。</w:t>
      </w:r>
    </w:p>
  </w:footnote>
  <w:footnote w:id="4">
    <w:p w:rsidR="00922A32" w:rsidRDefault="00E64766">
      <w:pPr>
        <w:pStyle w:val="a7"/>
        <w:widowControl w:val="0"/>
        <w:adjustRightInd/>
        <w:spacing w:after="0"/>
        <w:rPr>
          <w:rFonts w:ascii="Times New Roman" w:eastAsia="宋体" w:hAnsi="Times New Roman" w:cs="Times New Roman"/>
          <w:kern w:val="2"/>
          <w:szCs w:val="24"/>
        </w:rPr>
      </w:pPr>
      <w:r>
        <w:rPr>
          <w:rStyle w:val="ab"/>
        </w:rPr>
        <w:t>[</w:t>
      </w:r>
      <w:r>
        <w:rPr>
          <w:rStyle w:val="ab"/>
        </w:rPr>
        <w:footnoteRef/>
      </w:r>
      <w:r>
        <w:rPr>
          <w:rStyle w:val="ab"/>
        </w:rPr>
        <w:t>]</w:t>
      </w:r>
      <w:r>
        <w:rPr>
          <w:rFonts w:ascii="Times New Roman" w:eastAsia="宋体" w:hAnsi="Times New Roman" w:cs="Times New Roman" w:hint="eastAsia"/>
          <w:kern w:val="2"/>
          <w:szCs w:val="24"/>
        </w:rPr>
        <w:t>《中华人民共和国特种设备安全法》第九十条第（一）项：</w:t>
      </w:r>
      <w:r>
        <w:rPr>
          <w:rFonts w:ascii="Times New Roman" w:eastAsia="宋体" w:hAnsi="Times New Roman" w:cs="Times New Roman" w:hint="eastAsia"/>
          <w:kern w:val="2"/>
          <w:szCs w:val="24"/>
        </w:rPr>
        <w:t xml:space="preserve"> </w:t>
      </w:r>
      <w:r>
        <w:rPr>
          <w:rFonts w:ascii="Times New Roman" w:eastAsia="宋体" w:hAnsi="Times New Roman" w:cs="Times New Roman" w:hint="eastAsia"/>
          <w:kern w:val="2"/>
          <w:szCs w:val="24"/>
        </w:rPr>
        <w:t>发生事故，对负有责任的单位除要求其依法承担相应的赔偿等责任外，依照下列规定处以罚款：（一）发生一般事故，处十万元以上二十万元以下罚款。</w:t>
      </w:r>
    </w:p>
  </w:footnote>
  <w:footnote w:id="5">
    <w:p w:rsidR="00922A32" w:rsidRDefault="00E64766">
      <w:pPr>
        <w:pStyle w:val="a7"/>
        <w:rPr>
          <w:rFonts w:ascii="宋体" w:eastAsia="宋体" w:hAnsi="宋体" w:cs="宋体"/>
        </w:rPr>
      </w:pPr>
      <w:r>
        <w:rPr>
          <w:rStyle w:val="ab"/>
        </w:rPr>
        <w:t>[</w:t>
      </w:r>
      <w:r>
        <w:rPr>
          <w:rStyle w:val="ab"/>
        </w:rPr>
        <w:footnoteRef/>
      </w:r>
      <w:r>
        <w:rPr>
          <w:rStyle w:val="ab"/>
        </w:rPr>
        <w:t>]</w:t>
      </w:r>
      <w:r>
        <w:rPr>
          <w:rFonts w:ascii="宋体" w:eastAsia="宋体" w:hAnsi="宋体" w:cs="宋体" w:hint="eastAsia"/>
        </w:rPr>
        <w:t>《中华人民共和国特种设备安全法》第九十一条第（一）项：对事故发生负有责任的单位的主要负责人未依法履行职责或者负有领导责任的，依照下列规定处以罚款；属于国家工作人员的，并依法给予处分：（一）发生一般事故，处上一年年收入百分之三十的罚款。</w:t>
      </w:r>
    </w:p>
    <w:p w:rsidR="00922A32" w:rsidRDefault="00922A32">
      <w:pPr>
        <w:pStyle w:val="a7"/>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YzJiY2YxNTI4OTRhNDlkMGI5MmJjYzk5NGNkN2FiNjYifQ=="/>
  </w:docVars>
  <w:rsids>
    <w:rsidRoot w:val="00D31D50"/>
    <w:rsid w:val="00001847"/>
    <w:rsid w:val="00001C89"/>
    <w:rsid w:val="0000467F"/>
    <w:rsid w:val="000068A6"/>
    <w:rsid w:val="00007130"/>
    <w:rsid w:val="000111F9"/>
    <w:rsid w:val="00011957"/>
    <w:rsid w:val="00014666"/>
    <w:rsid w:val="000158DE"/>
    <w:rsid w:val="0002159A"/>
    <w:rsid w:val="00022087"/>
    <w:rsid w:val="00022F76"/>
    <w:rsid w:val="000269EC"/>
    <w:rsid w:val="00026C87"/>
    <w:rsid w:val="00027146"/>
    <w:rsid w:val="00027584"/>
    <w:rsid w:val="00030772"/>
    <w:rsid w:val="000317A9"/>
    <w:rsid w:val="000330E4"/>
    <w:rsid w:val="00033EE6"/>
    <w:rsid w:val="00035CE9"/>
    <w:rsid w:val="00036F29"/>
    <w:rsid w:val="000371E3"/>
    <w:rsid w:val="00041855"/>
    <w:rsid w:val="00044916"/>
    <w:rsid w:val="00044EE0"/>
    <w:rsid w:val="00047F0C"/>
    <w:rsid w:val="000533EF"/>
    <w:rsid w:val="00053BB0"/>
    <w:rsid w:val="0005439D"/>
    <w:rsid w:val="00054C7E"/>
    <w:rsid w:val="000554AF"/>
    <w:rsid w:val="00056753"/>
    <w:rsid w:val="0005764D"/>
    <w:rsid w:val="00065122"/>
    <w:rsid w:val="0006515D"/>
    <w:rsid w:val="00066215"/>
    <w:rsid w:val="00070763"/>
    <w:rsid w:val="000719D0"/>
    <w:rsid w:val="00073759"/>
    <w:rsid w:val="00074E05"/>
    <w:rsid w:val="0007671F"/>
    <w:rsid w:val="000774BB"/>
    <w:rsid w:val="000824E4"/>
    <w:rsid w:val="000836B0"/>
    <w:rsid w:val="000924D0"/>
    <w:rsid w:val="00094C4F"/>
    <w:rsid w:val="00095C76"/>
    <w:rsid w:val="000A0EB0"/>
    <w:rsid w:val="000A52B8"/>
    <w:rsid w:val="000A5F14"/>
    <w:rsid w:val="000A6230"/>
    <w:rsid w:val="000A7968"/>
    <w:rsid w:val="000B2CD3"/>
    <w:rsid w:val="000B5476"/>
    <w:rsid w:val="000B71D1"/>
    <w:rsid w:val="000C256B"/>
    <w:rsid w:val="000C31E9"/>
    <w:rsid w:val="000C5749"/>
    <w:rsid w:val="000C6604"/>
    <w:rsid w:val="000C7E3D"/>
    <w:rsid w:val="000D08EA"/>
    <w:rsid w:val="000D1673"/>
    <w:rsid w:val="000D2F77"/>
    <w:rsid w:val="000D3E6C"/>
    <w:rsid w:val="000D42A1"/>
    <w:rsid w:val="000D5D89"/>
    <w:rsid w:val="000E0A0E"/>
    <w:rsid w:val="000E363D"/>
    <w:rsid w:val="000E3CEA"/>
    <w:rsid w:val="000F4B27"/>
    <w:rsid w:val="000F5936"/>
    <w:rsid w:val="000F5BB9"/>
    <w:rsid w:val="000F6573"/>
    <w:rsid w:val="00100207"/>
    <w:rsid w:val="001012D5"/>
    <w:rsid w:val="00101DDA"/>
    <w:rsid w:val="00103B38"/>
    <w:rsid w:val="00105C2A"/>
    <w:rsid w:val="00106FB2"/>
    <w:rsid w:val="001072DE"/>
    <w:rsid w:val="001077EC"/>
    <w:rsid w:val="00110399"/>
    <w:rsid w:val="0011164B"/>
    <w:rsid w:val="00112133"/>
    <w:rsid w:val="00114696"/>
    <w:rsid w:val="001152FF"/>
    <w:rsid w:val="001153DF"/>
    <w:rsid w:val="00117F96"/>
    <w:rsid w:val="00123F4F"/>
    <w:rsid w:val="00124014"/>
    <w:rsid w:val="00124F02"/>
    <w:rsid w:val="001279DA"/>
    <w:rsid w:val="0013021A"/>
    <w:rsid w:val="00130D01"/>
    <w:rsid w:val="0013206C"/>
    <w:rsid w:val="00132BF1"/>
    <w:rsid w:val="00135495"/>
    <w:rsid w:val="0013577E"/>
    <w:rsid w:val="00137467"/>
    <w:rsid w:val="0014529A"/>
    <w:rsid w:val="0014610D"/>
    <w:rsid w:val="0014646E"/>
    <w:rsid w:val="00160849"/>
    <w:rsid w:val="00160DE5"/>
    <w:rsid w:val="00163038"/>
    <w:rsid w:val="00166A53"/>
    <w:rsid w:val="00171B20"/>
    <w:rsid w:val="0017270F"/>
    <w:rsid w:val="00173583"/>
    <w:rsid w:val="00174B20"/>
    <w:rsid w:val="001751C1"/>
    <w:rsid w:val="00175239"/>
    <w:rsid w:val="001754EC"/>
    <w:rsid w:val="00177FD4"/>
    <w:rsid w:val="001803E4"/>
    <w:rsid w:val="001829DF"/>
    <w:rsid w:val="001858E3"/>
    <w:rsid w:val="00185BF6"/>
    <w:rsid w:val="001868E0"/>
    <w:rsid w:val="00192A9E"/>
    <w:rsid w:val="001A0B1A"/>
    <w:rsid w:val="001A5BBC"/>
    <w:rsid w:val="001A74E4"/>
    <w:rsid w:val="001A7661"/>
    <w:rsid w:val="001B1FFA"/>
    <w:rsid w:val="001C1E4B"/>
    <w:rsid w:val="001C2986"/>
    <w:rsid w:val="001C5A38"/>
    <w:rsid w:val="001C6239"/>
    <w:rsid w:val="001C6437"/>
    <w:rsid w:val="001C66AA"/>
    <w:rsid w:val="001D1798"/>
    <w:rsid w:val="001D3E0A"/>
    <w:rsid w:val="001D3F8C"/>
    <w:rsid w:val="001D456B"/>
    <w:rsid w:val="001D4A8D"/>
    <w:rsid w:val="001D52EF"/>
    <w:rsid w:val="001E7E33"/>
    <w:rsid w:val="001F0C57"/>
    <w:rsid w:val="001F1B3B"/>
    <w:rsid w:val="001F3C3F"/>
    <w:rsid w:val="001F3E68"/>
    <w:rsid w:val="001F4BAD"/>
    <w:rsid w:val="001F4F37"/>
    <w:rsid w:val="001F6990"/>
    <w:rsid w:val="001F7791"/>
    <w:rsid w:val="002006F0"/>
    <w:rsid w:val="00203CE3"/>
    <w:rsid w:val="00204F00"/>
    <w:rsid w:val="002050A7"/>
    <w:rsid w:val="0020614F"/>
    <w:rsid w:val="0020729D"/>
    <w:rsid w:val="002102E9"/>
    <w:rsid w:val="002103B4"/>
    <w:rsid w:val="0021055D"/>
    <w:rsid w:val="00210E29"/>
    <w:rsid w:val="002122CB"/>
    <w:rsid w:val="002133F7"/>
    <w:rsid w:val="00213754"/>
    <w:rsid w:val="0021717B"/>
    <w:rsid w:val="00220363"/>
    <w:rsid w:val="00221AFA"/>
    <w:rsid w:val="00223D35"/>
    <w:rsid w:val="002251DC"/>
    <w:rsid w:val="0023168E"/>
    <w:rsid w:val="002332F3"/>
    <w:rsid w:val="0023499B"/>
    <w:rsid w:val="0023505A"/>
    <w:rsid w:val="0023626B"/>
    <w:rsid w:val="00236448"/>
    <w:rsid w:val="00237A6E"/>
    <w:rsid w:val="00242FF8"/>
    <w:rsid w:val="00242FFF"/>
    <w:rsid w:val="00245E24"/>
    <w:rsid w:val="002465C7"/>
    <w:rsid w:val="00247283"/>
    <w:rsid w:val="00250075"/>
    <w:rsid w:val="00252B0D"/>
    <w:rsid w:val="0025490B"/>
    <w:rsid w:val="00254EF8"/>
    <w:rsid w:val="002571F1"/>
    <w:rsid w:val="00263A05"/>
    <w:rsid w:val="00266F73"/>
    <w:rsid w:val="00272007"/>
    <w:rsid w:val="00274128"/>
    <w:rsid w:val="0027423C"/>
    <w:rsid w:val="00276700"/>
    <w:rsid w:val="00276C06"/>
    <w:rsid w:val="0028328E"/>
    <w:rsid w:val="00284735"/>
    <w:rsid w:val="00284872"/>
    <w:rsid w:val="00285979"/>
    <w:rsid w:val="00297E3B"/>
    <w:rsid w:val="002A0CAF"/>
    <w:rsid w:val="002A36CB"/>
    <w:rsid w:val="002A3D15"/>
    <w:rsid w:val="002A5F42"/>
    <w:rsid w:val="002A6939"/>
    <w:rsid w:val="002A69FA"/>
    <w:rsid w:val="002B0AC3"/>
    <w:rsid w:val="002B0FA8"/>
    <w:rsid w:val="002B34E5"/>
    <w:rsid w:val="002B69F5"/>
    <w:rsid w:val="002B6A21"/>
    <w:rsid w:val="002D04E5"/>
    <w:rsid w:val="002D2CB1"/>
    <w:rsid w:val="002D55CE"/>
    <w:rsid w:val="002D58EF"/>
    <w:rsid w:val="002D645D"/>
    <w:rsid w:val="002D6DEC"/>
    <w:rsid w:val="002E0766"/>
    <w:rsid w:val="002E115B"/>
    <w:rsid w:val="002E2103"/>
    <w:rsid w:val="002E2D95"/>
    <w:rsid w:val="002E3094"/>
    <w:rsid w:val="002E3F7B"/>
    <w:rsid w:val="002E5C1B"/>
    <w:rsid w:val="002E5CB7"/>
    <w:rsid w:val="002E612A"/>
    <w:rsid w:val="002F2409"/>
    <w:rsid w:val="002F2A86"/>
    <w:rsid w:val="002F64E4"/>
    <w:rsid w:val="00300232"/>
    <w:rsid w:val="00302138"/>
    <w:rsid w:val="00312AEA"/>
    <w:rsid w:val="003150AD"/>
    <w:rsid w:val="0031610F"/>
    <w:rsid w:val="003231A0"/>
    <w:rsid w:val="00323447"/>
    <w:rsid w:val="00323A32"/>
    <w:rsid w:val="00323B43"/>
    <w:rsid w:val="00324C45"/>
    <w:rsid w:val="003303C4"/>
    <w:rsid w:val="003320F8"/>
    <w:rsid w:val="00333743"/>
    <w:rsid w:val="00333888"/>
    <w:rsid w:val="003341D3"/>
    <w:rsid w:val="00337D4B"/>
    <w:rsid w:val="00337E9A"/>
    <w:rsid w:val="00342306"/>
    <w:rsid w:val="00345037"/>
    <w:rsid w:val="00347A16"/>
    <w:rsid w:val="003531EE"/>
    <w:rsid w:val="003546D7"/>
    <w:rsid w:val="0036105E"/>
    <w:rsid w:val="00364C0D"/>
    <w:rsid w:val="00371CC8"/>
    <w:rsid w:val="00372E6A"/>
    <w:rsid w:val="00372FEE"/>
    <w:rsid w:val="00373467"/>
    <w:rsid w:val="003737DE"/>
    <w:rsid w:val="00375B62"/>
    <w:rsid w:val="00386983"/>
    <w:rsid w:val="0039235B"/>
    <w:rsid w:val="00394D23"/>
    <w:rsid w:val="00396F36"/>
    <w:rsid w:val="003A3AA0"/>
    <w:rsid w:val="003A56B7"/>
    <w:rsid w:val="003B0433"/>
    <w:rsid w:val="003B1944"/>
    <w:rsid w:val="003B1D75"/>
    <w:rsid w:val="003B235C"/>
    <w:rsid w:val="003C1D05"/>
    <w:rsid w:val="003C21DE"/>
    <w:rsid w:val="003C39B7"/>
    <w:rsid w:val="003D3283"/>
    <w:rsid w:val="003D37D8"/>
    <w:rsid w:val="003D44F4"/>
    <w:rsid w:val="003D766D"/>
    <w:rsid w:val="003E02E8"/>
    <w:rsid w:val="003E1056"/>
    <w:rsid w:val="003E7BAB"/>
    <w:rsid w:val="003F5FB7"/>
    <w:rsid w:val="003F62B0"/>
    <w:rsid w:val="003F767A"/>
    <w:rsid w:val="003F7F1E"/>
    <w:rsid w:val="00412DD9"/>
    <w:rsid w:val="004152E5"/>
    <w:rsid w:val="004155A8"/>
    <w:rsid w:val="004204A2"/>
    <w:rsid w:val="0042399B"/>
    <w:rsid w:val="00424613"/>
    <w:rsid w:val="00426133"/>
    <w:rsid w:val="0043134E"/>
    <w:rsid w:val="0043198A"/>
    <w:rsid w:val="004324DD"/>
    <w:rsid w:val="00432610"/>
    <w:rsid w:val="00432EC8"/>
    <w:rsid w:val="004358AB"/>
    <w:rsid w:val="00436314"/>
    <w:rsid w:val="00436F19"/>
    <w:rsid w:val="00443CCB"/>
    <w:rsid w:val="00444B21"/>
    <w:rsid w:val="004462FC"/>
    <w:rsid w:val="004513EC"/>
    <w:rsid w:val="00453EDE"/>
    <w:rsid w:val="00454C19"/>
    <w:rsid w:val="00455B4E"/>
    <w:rsid w:val="00456E4C"/>
    <w:rsid w:val="004630A4"/>
    <w:rsid w:val="00463E6F"/>
    <w:rsid w:val="00466D62"/>
    <w:rsid w:val="004677FC"/>
    <w:rsid w:val="004707F8"/>
    <w:rsid w:val="00472A85"/>
    <w:rsid w:val="00473792"/>
    <w:rsid w:val="00475A4F"/>
    <w:rsid w:val="0048013F"/>
    <w:rsid w:val="0048424C"/>
    <w:rsid w:val="00485A26"/>
    <w:rsid w:val="004870D2"/>
    <w:rsid w:val="00490463"/>
    <w:rsid w:val="00493568"/>
    <w:rsid w:val="00496BA0"/>
    <w:rsid w:val="004A3C8E"/>
    <w:rsid w:val="004A5150"/>
    <w:rsid w:val="004A75B4"/>
    <w:rsid w:val="004B06F5"/>
    <w:rsid w:val="004B1CEE"/>
    <w:rsid w:val="004B793D"/>
    <w:rsid w:val="004C0C83"/>
    <w:rsid w:val="004C3264"/>
    <w:rsid w:val="004D0425"/>
    <w:rsid w:val="004D1C3A"/>
    <w:rsid w:val="004D2714"/>
    <w:rsid w:val="004D3757"/>
    <w:rsid w:val="004D5DDB"/>
    <w:rsid w:val="004D6885"/>
    <w:rsid w:val="004E1894"/>
    <w:rsid w:val="004E33C0"/>
    <w:rsid w:val="004E5247"/>
    <w:rsid w:val="004F1EFE"/>
    <w:rsid w:val="004F4CFE"/>
    <w:rsid w:val="004F7850"/>
    <w:rsid w:val="005013B0"/>
    <w:rsid w:val="00502A97"/>
    <w:rsid w:val="00503701"/>
    <w:rsid w:val="005046FD"/>
    <w:rsid w:val="00510A47"/>
    <w:rsid w:val="00510F3F"/>
    <w:rsid w:val="00511F83"/>
    <w:rsid w:val="00513E0E"/>
    <w:rsid w:val="005176D2"/>
    <w:rsid w:val="00520DF3"/>
    <w:rsid w:val="0052406B"/>
    <w:rsid w:val="00525AE3"/>
    <w:rsid w:val="00530154"/>
    <w:rsid w:val="00530E9B"/>
    <w:rsid w:val="00531B09"/>
    <w:rsid w:val="00535A75"/>
    <w:rsid w:val="00542A6C"/>
    <w:rsid w:val="00550E08"/>
    <w:rsid w:val="0055382C"/>
    <w:rsid w:val="005567A3"/>
    <w:rsid w:val="00560991"/>
    <w:rsid w:val="005612FC"/>
    <w:rsid w:val="005623D8"/>
    <w:rsid w:val="005653D2"/>
    <w:rsid w:val="005656A4"/>
    <w:rsid w:val="005709BB"/>
    <w:rsid w:val="00570DBB"/>
    <w:rsid w:val="005711B2"/>
    <w:rsid w:val="00571F93"/>
    <w:rsid w:val="005732D8"/>
    <w:rsid w:val="00573331"/>
    <w:rsid w:val="00574AD2"/>
    <w:rsid w:val="0057539E"/>
    <w:rsid w:val="005753E3"/>
    <w:rsid w:val="00575442"/>
    <w:rsid w:val="005827AD"/>
    <w:rsid w:val="00585B48"/>
    <w:rsid w:val="0058606A"/>
    <w:rsid w:val="00590037"/>
    <w:rsid w:val="0059137F"/>
    <w:rsid w:val="00596604"/>
    <w:rsid w:val="00596D4F"/>
    <w:rsid w:val="0059711A"/>
    <w:rsid w:val="005A5EC6"/>
    <w:rsid w:val="005A7FDE"/>
    <w:rsid w:val="005B026A"/>
    <w:rsid w:val="005B2244"/>
    <w:rsid w:val="005B5360"/>
    <w:rsid w:val="005B62C0"/>
    <w:rsid w:val="005B7B39"/>
    <w:rsid w:val="005C014E"/>
    <w:rsid w:val="005C16C4"/>
    <w:rsid w:val="005C3728"/>
    <w:rsid w:val="005C64DA"/>
    <w:rsid w:val="005D1965"/>
    <w:rsid w:val="005D3697"/>
    <w:rsid w:val="005D504E"/>
    <w:rsid w:val="005D6E4F"/>
    <w:rsid w:val="005E031C"/>
    <w:rsid w:val="005E05E6"/>
    <w:rsid w:val="005E29C6"/>
    <w:rsid w:val="005E2A49"/>
    <w:rsid w:val="005E2AF7"/>
    <w:rsid w:val="005E4809"/>
    <w:rsid w:val="005E5A5E"/>
    <w:rsid w:val="005E5F53"/>
    <w:rsid w:val="005E7404"/>
    <w:rsid w:val="005F020C"/>
    <w:rsid w:val="005F2E98"/>
    <w:rsid w:val="005F6D50"/>
    <w:rsid w:val="006142CC"/>
    <w:rsid w:val="006209F9"/>
    <w:rsid w:val="00625588"/>
    <w:rsid w:val="00625AD8"/>
    <w:rsid w:val="006264DA"/>
    <w:rsid w:val="00626761"/>
    <w:rsid w:val="006305D6"/>
    <w:rsid w:val="0063159C"/>
    <w:rsid w:val="006323EF"/>
    <w:rsid w:val="00635FA6"/>
    <w:rsid w:val="00637210"/>
    <w:rsid w:val="006407EC"/>
    <w:rsid w:val="00640926"/>
    <w:rsid w:val="006433A7"/>
    <w:rsid w:val="00653F80"/>
    <w:rsid w:val="006568CE"/>
    <w:rsid w:val="00657380"/>
    <w:rsid w:val="00657B07"/>
    <w:rsid w:val="006626B7"/>
    <w:rsid w:val="00664D53"/>
    <w:rsid w:val="00670AE7"/>
    <w:rsid w:val="00676B08"/>
    <w:rsid w:val="006771D1"/>
    <w:rsid w:val="0067798F"/>
    <w:rsid w:val="006824E7"/>
    <w:rsid w:val="006848E0"/>
    <w:rsid w:val="006908EC"/>
    <w:rsid w:val="00697A15"/>
    <w:rsid w:val="00697C2D"/>
    <w:rsid w:val="006A4087"/>
    <w:rsid w:val="006A4864"/>
    <w:rsid w:val="006A5EE9"/>
    <w:rsid w:val="006A6AEF"/>
    <w:rsid w:val="006A7C03"/>
    <w:rsid w:val="006B0869"/>
    <w:rsid w:val="006B2CAC"/>
    <w:rsid w:val="006C0235"/>
    <w:rsid w:val="006C1BB6"/>
    <w:rsid w:val="006C1C17"/>
    <w:rsid w:val="006C3B1C"/>
    <w:rsid w:val="006C5611"/>
    <w:rsid w:val="006C671F"/>
    <w:rsid w:val="006C6759"/>
    <w:rsid w:val="006C6936"/>
    <w:rsid w:val="006C765E"/>
    <w:rsid w:val="006D0989"/>
    <w:rsid w:val="006D1FAE"/>
    <w:rsid w:val="006D5AA4"/>
    <w:rsid w:val="006D780F"/>
    <w:rsid w:val="006E0EA7"/>
    <w:rsid w:val="006E3057"/>
    <w:rsid w:val="006E5322"/>
    <w:rsid w:val="006E7E0F"/>
    <w:rsid w:val="006F0319"/>
    <w:rsid w:val="006F044E"/>
    <w:rsid w:val="006F4FE4"/>
    <w:rsid w:val="006F632B"/>
    <w:rsid w:val="006F649B"/>
    <w:rsid w:val="006F6BBD"/>
    <w:rsid w:val="00700026"/>
    <w:rsid w:val="00700E7D"/>
    <w:rsid w:val="00701C03"/>
    <w:rsid w:val="00701E5D"/>
    <w:rsid w:val="00702F69"/>
    <w:rsid w:val="007034EB"/>
    <w:rsid w:val="00703D9B"/>
    <w:rsid w:val="00705A8C"/>
    <w:rsid w:val="007065FF"/>
    <w:rsid w:val="00706C72"/>
    <w:rsid w:val="00711375"/>
    <w:rsid w:val="00711F24"/>
    <w:rsid w:val="00715A36"/>
    <w:rsid w:val="00720805"/>
    <w:rsid w:val="0072372A"/>
    <w:rsid w:val="00723A3D"/>
    <w:rsid w:val="007242FB"/>
    <w:rsid w:val="00727D6D"/>
    <w:rsid w:val="00733228"/>
    <w:rsid w:val="00740063"/>
    <w:rsid w:val="0074113F"/>
    <w:rsid w:val="00742F91"/>
    <w:rsid w:val="00743BE8"/>
    <w:rsid w:val="00746549"/>
    <w:rsid w:val="007474D1"/>
    <w:rsid w:val="00747C07"/>
    <w:rsid w:val="00751DBC"/>
    <w:rsid w:val="00753765"/>
    <w:rsid w:val="007540CE"/>
    <w:rsid w:val="00757D4A"/>
    <w:rsid w:val="00757DDE"/>
    <w:rsid w:val="007616B1"/>
    <w:rsid w:val="00762858"/>
    <w:rsid w:val="00766EC5"/>
    <w:rsid w:val="00766F02"/>
    <w:rsid w:val="00771B5F"/>
    <w:rsid w:val="00773F70"/>
    <w:rsid w:val="00775B04"/>
    <w:rsid w:val="007817EC"/>
    <w:rsid w:val="00781F85"/>
    <w:rsid w:val="00782F8E"/>
    <w:rsid w:val="00782FED"/>
    <w:rsid w:val="00791169"/>
    <w:rsid w:val="00791454"/>
    <w:rsid w:val="00792390"/>
    <w:rsid w:val="007950F9"/>
    <w:rsid w:val="0079730B"/>
    <w:rsid w:val="007A1333"/>
    <w:rsid w:val="007A32EE"/>
    <w:rsid w:val="007A69DB"/>
    <w:rsid w:val="007A71B6"/>
    <w:rsid w:val="007B1420"/>
    <w:rsid w:val="007B2321"/>
    <w:rsid w:val="007B3777"/>
    <w:rsid w:val="007B4E70"/>
    <w:rsid w:val="007B4EFB"/>
    <w:rsid w:val="007C206D"/>
    <w:rsid w:val="007C3EB9"/>
    <w:rsid w:val="007C6FCB"/>
    <w:rsid w:val="007C7B56"/>
    <w:rsid w:val="007C7D3C"/>
    <w:rsid w:val="007D0A8B"/>
    <w:rsid w:val="007D27BB"/>
    <w:rsid w:val="007D28F3"/>
    <w:rsid w:val="007D3B82"/>
    <w:rsid w:val="007D5E18"/>
    <w:rsid w:val="007E23DD"/>
    <w:rsid w:val="007E343F"/>
    <w:rsid w:val="007E3692"/>
    <w:rsid w:val="007E5279"/>
    <w:rsid w:val="007E5ABC"/>
    <w:rsid w:val="007E5DEB"/>
    <w:rsid w:val="007E6AFF"/>
    <w:rsid w:val="007F0BCE"/>
    <w:rsid w:val="007F3FB3"/>
    <w:rsid w:val="007F543C"/>
    <w:rsid w:val="007F6F28"/>
    <w:rsid w:val="007F7B4E"/>
    <w:rsid w:val="00800E46"/>
    <w:rsid w:val="00801099"/>
    <w:rsid w:val="008011B4"/>
    <w:rsid w:val="0080136B"/>
    <w:rsid w:val="00804BA9"/>
    <w:rsid w:val="008053AA"/>
    <w:rsid w:val="008102BD"/>
    <w:rsid w:val="00810B92"/>
    <w:rsid w:val="00813F9C"/>
    <w:rsid w:val="00815341"/>
    <w:rsid w:val="008172D7"/>
    <w:rsid w:val="00820AAA"/>
    <w:rsid w:val="00820AFD"/>
    <w:rsid w:val="008251DC"/>
    <w:rsid w:val="008262B6"/>
    <w:rsid w:val="00826A31"/>
    <w:rsid w:val="00826AF0"/>
    <w:rsid w:val="00830CCF"/>
    <w:rsid w:val="00830EA2"/>
    <w:rsid w:val="0083331C"/>
    <w:rsid w:val="00834482"/>
    <w:rsid w:val="00841A18"/>
    <w:rsid w:val="0084369F"/>
    <w:rsid w:val="008456BC"/>
    <w:rsid w:val="00846E3F"/>
    <w:rsid w:val="00846F6B"/>
    <w:rsid w:val="00846FB9"/>
    <w:rsid w:val="008479BE"/>
    <w:rsid w:val="008516EC"/>
    <w:rsid w:val="00852298"/>
    <w:rsid w:val="0085382D"/>
    <w:rsid w:val="008560EC"/>
    <w:rsid w:val="00856D3A"/>
    <w:rsid w:val="00863756"/>
    <w:rsid w:val="00863C4D"/>
    <w:rsid w:val="008645EF"/>
    <w:rsid w:val="008646F8"/>
    <w:rsid w:val="00867E88"/>
    <w:rsid w:val="0087124B"/>
    <w:rsid w:val="00871C0D"/>
    <w:rsid w:val="00873A3A"/>
    <w:rsid w:val="00874111"/>
    <w:rsid w:val="00874477"/>
    <w:rsid w:val="0087674D"/>
    <w:rsid w:val="00876AA1"/>
    <w:rsid w:val="008812CB"/>
    <w:rsid w:val="00882B6A"/>
    <w:rsid w:val="00896109"/>
    <w:rsid w:val="00896BA3"/>
    <w:rsid w:val="00897229"/>
    <w:rsid w:val="008A0324"/>
    <w:rsid w:val="008A0EEC"/>
    <w:rsid w:val="008A1DB3"/>
    <w:rsid w:val="008A5F92"/>
    <w:rsid w:val="008A760E"/>
    <w:rsid w:val="008B0AAE"/>
    <w:rsid w:val="008B0AF8"/>
    <w:rsid w:val="008B1165"/>
    <w:rsid w:val="008B4405"/>
    <w:rsid w:val="008B7726"/>
    <w:rsid w:val="008B7D02"/>
    <w:rsid w:val="008C274F"/>
    <w:rsid w:val="008C3F44"/>
    <w:rsid w:val="008C7748"/>
    <w:rsid w:val="008C7E67"/>
    <w:rsid w:val="008D1E92"/>
    <w:rsid w:val="008D2855"/>
    <w:rsid w:val="008D3389"/>
    <w:rsid w:val="008D51F9"/>
    <w:rsid w:val="008D715E"/>
    <w:rsid w:val="008E7680"/>
    <w:rsid w:val="008F07FF"/>
    <w:rsid w:val="008F23E6"/>
    <w:rsid w:val="008F35C3"/>
    <w:rsid w:val="008F72CE"/>
    <w:rsid w:val="00900EBC"/>
    <w:rsid w:val="00901463"/>
    <w:rsid w:val="00903F70"/>
    <w:rsid w:val="009062FD"/>
    <w:rsid w:val="0091333F"/>
    <w:rsid w:val="0091793A"/>
    <w:rsid w:val="00920567"/>
    <w:rsid w:val="00922A02"/>
    <w:rsid w:val="00922A32"/>
    <w:rsid w:val="00925450"/>
    <w:rsid w:val="009319EC"/>
    <w:rsid w:val="00932220"/>
    <w:rsid w:val="00932B58"/>
    <w:rsid w:val="00936631"/>
    <w:rsid w:val="00936A93"/>
    <w:rsid w:val="00937431"/>
    <w:rsid w:val="009435C9"/>
    <w:rsid w:val="00946A2B"/>
    <w:rsid w:val="00947D60"/>
    <w:rsid w:val="00950E5F"/>
    <w:rsid w:val="00960D75"/>
    <w:rsid w:val="00962226"/>
    <w:rsid w:val="00966466"/>
    <w:rsid w:val="00966AB5"/>
    <w:rsid w:val="00966B95"/>
    <w:rsid w:val="00967BED"/>
    <w:rsid w:val="00972DAA"/>
    <w:rsid w:val="009744BF"/>
    <w:rsid w:val="00976DE3"/>
    <w:rsid w:val="00980486"/>
    <w:rsid w:val="009816FF"/>
    <w:rsid w:val="00993DB7"/>
    <w:rsid w:val="00995AE2"/>
    <w:rsid w:val="00996590"/>
    <w:rsid w:val="009A20EA"/>
    <w:rsid w:val="009A24B7"/>
    <w:rsid w:val="009A350C"/>
    <w:rsid w:val="009B089F"/>
    <w:rsid w:val="009B0E8E"/>
    <w:rsid w:val="009B1D21"/>
    <w:rsid w:val="009B3570"/>
    <w:rsid w:val="009B5021"/>
    <w:rsid w:val="009B5543"/>
    <w:rsid w:val="009B60FA"/>
    <w:rsid w:val="009B61AA"/>
    <w:rsid w:val="009B66A8"/>
    <w:rsid w:val="009C0CF1"/>
    <w:rsid w:val="009C71F6"/>
    <w:rsid w:val="009C7C1A"/>
    <w:rsid w:val="009D2F61"/>
    <w:rsid w:val="009D35B4"/>
    <w:rsid w:val="009D5970"/>
    <w:rsid w:val="009D71AA"/>
    <w:rsid w:val="009E4550"/>
    <w:rsid w:val="009E4C9D"/>
    <w:rsid w:val="009E515C"/>
    <w:rsid w:val="009E52F4"/>
    <w:rsid w:val="009E6CED"/>
    <w:rsid w:val="009F2E4D"/>
    <w:rsid w:val="009F35F6"/>
    <w:rsid w:val="009F3D38"/>
    <w:rsid w:val="009F53BD"/>
    <w:rsid w:val="009F6EBE"/>
    <w:rsid w:val="009F718B"/>
    <w:rsid w:val="009F7656"/>
    <w:rsid w:val="00A00958"/>
    <w:rsid w:val="00A02458"/>
    <w:rsid w:val="00A02B29"/>
    <w:rsid w:val="00A02BC1"/>
    <w:rsid w:val="00A02BFE"/>
    <w:rsid w:val="00A030DE"/>
    <w:rsid w:val="00A069D5"/>
    <w:rsid w:val="00A11D05"/>
    <w:rsid w:val="00A14236"/>
    <w:rsid w:val="00A14788"/>
    <w:rsid w:val="00A1492D"/>
    <w:rsid w:val="00A15BF4"/>
    <w:rsid w:val="00A210BE"/>
    <w:rsid w:val="00A218AE"/>
    <w:rsid w:val="00A219AC"/>
    <w:rsid w:val="00A22416"/>
    <w:rsid w:val="00A224B7"/>
    <w:rsid w:val="00A278AC"/>
    <w:rsid w:val="00A30028"/>
    <w:rsid w:val="00A31698"/>
    <w:rsid w:val="00A33100"/>
    <w:rsid w:val="00A35054"/>
    <w:rsid w:val="00A35B37"/>
    <w:rsid w:val="00A3783D"/>
    <w:rsid w:val="00A37DAF"/>
    <w:rsid w:val="00A4603C"/>
    <w:rsid w:val="00A55DA2"/>
    <w:rsid w:val="00A57187"/>
    <w:rsid w:val="00A62EE4"/>
    <w:rsid w:val="00A63487"/>
    <w:rsid w:val="00A63B2D"/>
    <w:rsid w:val="00A72545"/>
    <w:rsid w:val="00A74A55"/>
    <w:rsid w:val="00A77CEA"/>
    <w:rsid w:val="00A8021D"/>
    <w:rsid w:val="00A81AF3"/>
    <w:rsid w:val="00A821A4"/>
    <w:rsid w:val="00A91070"/>
    <w:rsid w:val="00A91282"/>
    <w:rsid w:val="00A91A95"/>
    <w:rsid w:val="00A92E0F"/>
    <w:rsid w:val="00A93871"/>
    <w:rsid w:val="00AA2289"/>
    <w:rsid w:val="00AA24A8"/>
    <w:rsid w:val="00AA3E14"/>
    <w:rsid w:val="00AA6846"/>
    <w:rsid w:val="00AB081B"/>
    <w:rsid w:val="00AB1BE4"/>
    <w:rsid w:val="00AB2D9D"/>
    <w:rsid w:val="00AB5E05"/>
    <w:rsid w:val="00AB7D35"/>
    <w:rsid w:val="00AC3AD3"/>
    <w:rsid w:val="00AC4368"/>
    <w:rsid w:val="00AC5492"/>
    <w:rsid w:val="00AC5BC0"/>
    <w:rsid w:val="00AC6BBC"/>
    <w:rsid w:val="00AC6E36"/>
    <w:rsid w:val="00AD445B"/>
    <w:rsid w:val="00AD5D15"/>
    <w:rsid w:val="00AD5FE6"/>
    <w:rsid w:val="00AD5FEE"/>
    <w:rsid w:val="00AE1633"/>
    <w:rsid w:val="00AE1B7D"/>
    <w:rsid w:val="00AE350E"/>
    <w:rsid w:val="00AE585C"/>
    <w:rsid w:val="00AF186C"/>
    <w:rsid w:val="00AF29DD"/>
    <w:rsid w:val="00AF40BF"/>
    <w:rsid w:val="00AF4599"/>
    <w:rsid w:val="00AF58E2"/>
    <w:rsid w:val="00B00EB4"/>
    <w:rsid w:val="00B01E41"/>
    <w:rsid w:val="00B02E6E"/>
    <w:rsid w:val="00B060F6"/>
    <w:rsid w:val="00B10921"/>
    <w:rsid w:val="00B13704"/>
    <w:rsid w:val="00B15E09"/>
    <w:rsid w:val="00B205C1"/>
    <w:rsid w:val="00B21804"/>
    <w:rsid w:val="00B21FCF"/>
    <w:rsid w:val="00B229F3"/>
    <w:rsid w:val="00B2360C"/>
    <w:rsid w:val="00B23893"/>
    <w:rsid w:val="00B2429B"/>
    <w:rsid w:val="00B24AE5"/>
    <w:rsid w:val="00B25550"/>
    <w:rsid w:val="00B301AB"/>
    <w:rsid w:val="00B32552"/>
    <w:rsid w:val="00B34317"/>
    <w:rsid w:val="00B34601"/>
    <w:rsid w:val="00B34A98"/>
    <w:rsid w:val="00B40288"/>
    <w:rsid w:val="00B402C3"/>
    <w:rsid w:val="00B406C5"/>
    <w:rsid w:val="00B461B9"/>
    <w:rsid w:val="00B5111F"/>
    <w:rsid w:val="00B52F72"/>
    <w:rsid w:val="00B54DE5"/>
    <w:rsid w:val="00B56D97"/>
    <w:rsid w:val="00B61401"/>
    <w:rsid w:val="00B63503"/>
    <w:rsid w:val="00B662B0"/>
    <w:rsid w:val="00B66B05"/>
    <w:rsid w:val="00B67A17"/>
    <w:rsid w:val="00B67D40"/>
    <w:rsid w:val="00B71B7C"/>
    <w:rsid w:val="00B735C0"/>
    <w:rsid w:val="00B75BDD"/>
    <w:rsid w:val="00B763B7"/>
    <w:rsid w:val="00B7653B"/>
    <w:rsid w:val="00B77F2B"/>
    <w:rsid w:val="00B815FC"/>
    <w:rsid w:val="00B87216"/>
    <w:rsid w:val="00B9395B"/>
    <w:rsid w:val="00B93F28"/>
    <w:rsid w:val="00B96755"/>
    <w:rsid w:val="00BA22B1"/>
    <w:rsid w:val="00BA5482"/>
    <w:rsid w:val="00BA5543"/>
    <w:rsid w:val="00BB4136"/>
    <w:rsid w:val="00BB6783"/>
    <w:rsid w:val="00BB6DC8"/>
    <w:rsid w:val="00BC268C"/>
    <w:rsid w:val="00BC2C6E"/>
    <w:rsid w:val="00BC473E"/>
    <w:rsid w:val="00BC53CC"/>
    <w:rsid w:val="00BC54E3"/>
    <w:rsid w:val="00BC5A16"/>
    <w:rsid w:val="00BD0568"/>
    <w:rsid w:val="00BD0636"/>
    <w:rsid w:val="00BD2E2F"/>
    <w:rsid w:val="00BD2F33"/>
    <w:rsid w:val="00BD4180"/>
    <w:rsid w:val="00BD4697"/>
    <w:rsid w:val="00BD74AA"/>
    <w:rsid w:val="00BE019F"/>
    <w:rsid w:val="00BE3E8E"/>
    <w:rsid w:val="00BF4FD2"/>
    <w:rsid w:val="00BF50BE"/>
    <w:rsid w:val="00BF6B7A"/>
    <w:rsid w:val="00BF7AA5"/>
    <w:rsid w:val="00C049DB"/>
    <w:rsid w:val="00C052C2"/>
    <w:rsid w:val="00C0558D"/>
    <w:rsid w:val="00C07297"/>
    <w:rsid w:val="00C07537"/>
    <w:rsid w:val="00C106A6"/>
    <w:rsid w:val="00C10CB9"/>
    <w:rsid w:val="00C10DA5"/>
    <w:rsid w:val="00C11725"/>
    <w:rsid w:val="00C12C27"/>
    <w:rsid w:val="00C146EC"/>
    <w:rsid w:val="00C20134"/>
    <w:rsid w:val="00C20D14"/>
    <w:rsid w:val="00C20F28"/>
    <w:rsid w:val="00C216F8"/>
    <w:rsid w:val="00C2239B"/>
    <w:rsid w:val="00C235E6"/>
    <w:rsid w:val="00C261DE"/>
    <w:rsid w:val="00C272D5"/>
    <w:rsid w:val="00C33382"/>
    <w:rsid w:val="00C339E0"/>
    <w:rsid w:val="00C35703"/>
    <w:rsid w:val="00C37124"/>
    <w:rsid w:val="00C37BD8"/>
    <w:rsid w:val="00C40066"/>
    <w:rsid w:val="00C47F7C"/>
    <w:rsid w:val="00C54EA4"/>
    <w:rsid w:val="00C57569"/>
    <w:rsid w:val="00C5793C"/>
    <w:rsid w:val="00C61B95"/>
    <w:rsid w:val="00C644FE"/>
    <w:rsid w:val="00C649D2"/>
    <w:rsid w:val="00C65A66"/>
    <w:rsid w:val="00C73B65"/>
    <w:rsid w:val="00C759AC"/>
    <w:rsid w:val="00C800C9"/>
    <w:rsid w:val="00C80DBF"/>
    <w:rsid w:val="00C834E0"/>
    <w:rsid w:val="00C85135"/>
    <w:rsid w:val="00C87AE2"/>
    <w:rsid w:val="00C9068B"/>
    <w:rsid w:val="00C9499C"/>
    <w:rsid w:val="00C97DB8"/>
    <w:rsid w:val="00CA3003"/>
    <w:rsid w:val="00CA3606"/>
    <w:rsid w:val="00CA574B"/>
    <w:rsid w:val="00CB33EC"/>
    <w:rsid w:val="00CB439A"/>
    <w:rsid w:val="00CC06BE"/>
    <w:rsid w:val="00CC4179"/>
    <w:rsid w:val="00CD109B"/>
    <w:rsid w:val="00CD1C8E"/>
    <w:rsid w:val="00CD2CB6"/>
    <w:rsid w:val="00CD32A0"/>
    <w:rsid w:val="00CD4361"/>
    <w:rsid w:val="00CD46D3"/>
    <w:rsid w:val="00CD4778"/>
    <w:rsid w:val="00CD78F3"/>
    <w:rsid w:val="00CE193B"/>
    <w:rsid w:val="00CE2C9E"/>
    <w:rsid w:val="00CE37F0"/>
    <w:rsid w:val="00CE4B84"/>
    <w:rsid w:val="00CE617B"/>
    <w:rsid w:val="00CE6B4A"/>
    <w:rsid w:val="00CF19AF"/>
    <w:rsid w:val="00CF3239"/>
    <w:rsid w:val="00CF32CD"/>
    <w:rsid w:val="00CF3363"/>
    <w:rsid w:val="00CF34A0"/>
    <w:rsid w:val="00CF5134"/>
    <w:rsid w:val="00D02351"/>
    <w:rsid w:val="00D03710"/>
    <w:rsid w:val="00D04997"/>
    <w:rsid w:val="00D06019"/>
    <w:rsid w:val="00D07971"/>
    <w:rsid w:val="00D10DC2"/>
    <w:rsid w:val="00D11293"/>
    <w:rsid w:val="00D11D26"/>
    <w:rsid w:val="00D13119"/>
    <w:rsid w:val="00D156BB"/>
    <w:rsid w:val="00D1764D"/>
    <w:rsid w:val="00D243BA"/>
    <w:rsid w:val="00D252F0"/>
    <w:rsid w:val="00D25A20"/>
    <w:rsid w:val="00D31D50"/>
    <w:rsid w:val="00D33E50"/>
    <w:rsid w:val="00D34619"/>
    <w:rsid w:val="00D35D72"/>
    <w:rsid w:val="00D3774B"/>
    <w:rsid w:val="00D42D57"/>
    <w:rsid w:val="00D440B7"/>
    <w:rsid w:val="00D449CF"/>
    <w:rsid w:val="00D455C4"/>
    <w:rsid w:val="00D45F25"/>
    <w:rsid w:val="00D522AE"/>
    <w:rsid w:val="00D5254F"/>
    <w:rsid w:val="00D55A61"/>
    <w:rsid w:val="00D566FD"/>
    <w:rsid w:val="00D5701F"/>
    <w:rsid w:val="00D5711E"/>
    <w:rsid w:val="00D57547"/>
    <w:rsid w:val="00D6288C"/>
    <w:rsid w:val="00D63DFD"/>
    <w:rsid w:val="00D63F9B"/>
    <w:rsid w:val="00D657BF"/>
    <w:rsid w:val="00D66AE7"/>
    <w:rsid w:val="00D67D38"/>
    <w:rsid w:val="00D71D77"/>
    <w:rsid w:val="00D72EEC"/>
    <w:rsid w:val="00D74776"/>
    <w:rsid w:val="00D7615A"/>
    <w:rsid w:val="00D768E1"/>
    <w:rsid w:val="00D80158"/>
    <w:rsid w:val="00D814A2"/>
    <w:rsid w:val="00D82650"/>
    <w:rsid w:val="00D83686"/>
    <w:rsid w:val="00D843A2"/>
    <w:rsid w:val="00D852A0"/>
    <w:rsid w:val="00D8621A"/>
    <w:rsid w:val="00D8742C"/>
    <w:rsid w:val="00D87F24"/>
    <w:rsid w:val="00D90682"/>
    <w:rsid w:val="00D97030"/>
    <w:rsid w:val="00DA19A8"/>
    <w:rsid w:val="00DA24E2"/>
    <w:rsid w:val="00DA7EA3"/>
    <w:rsid w:val="00DB0BB6"/>
    <w:rsid w:val="00DB0BC5"/>
    <w:rsid w:val="00DB299E"/>
    <w:rsid w:val="00DB2B9A"/>
    <w:rsid w:val="00DB430B"/>
    <w:rsid w:val="00DB5A2A"/>
    <w:rsid w:val="00DC2F65"/>
    <w:rsid w:val="00DC4A37"/>
    <w:rsid w:val="00DD3ED0"/>
    <w:rsid w:val="00DE4B05"/>
    <w:rsid w:val="00DE4E80"/>
    <w:rsid w:val="00DF1929"/>
    <w:rsid w:val="00DF3CD3"/>
    <w:rsid w:val="00DF44DF"/>
    <w:rsid w:val="00DF4DD3"/>
    <w:rsid w:val="00DF5470"/>
    <w:rsid w:val="00E00A09"/>
    <w:rsid w:val="00E041EB"/>
    <w:rsid w:val="00E05D25"/>
    <w:rsid w:val="00E06198"/>
    <w:rsid w:val="00E13AC2"/>
    <w:rsid w:val="00E16D6C"/>
    <w:rsid w:val="00E203D5"/>
    <w:rsid w:val="00E217CE"/>
    <w:rsid w:val="00E259C9"/>
    <w:rsid w:val="00E302AD"/>
    <w:rsid w:val="00E3037C"/>
    <w:rsid w:val="00E3100E"/>
    <w:rsid w:val="00E33132"/>
    <w:rsid w:val="00E37422"/>
    <w:rsid w:val="00E50DBE"/>
    <w:rsid w:val="00E52400"/>
    <w:rsid w:val="00E561B5"/>
    <w:rsid w:val="00E641CD"/>
    <w:rsid w:val="00E64354"/>
    <w:rsid w:val="00E645AE"/>
    <w:rsid w:val="00E64766"/>
    <w:rsid w:val="00E653C8"/>
    <w:rsid w:val="00E677E3"/>
    <w:rsid w:val="00E72C62"/>
    <w:rsid w:val="00E74876"/>
    <w:rsid w:val="00E75F9A"/>
    <w:rsid w:val="00E77DB9"/>
    <w:rsid w:val="00E821CF"/>
    <w:rsid w:val="00E831CA"/>
    <w:rsid w:val="00E87D19"/>
    <w:rsid w:val="00E94FB3"/>
    <w:rsid w:val="00E96A3C"/>
    <w:rsid w:val="00EA075F"/>
    <w:rsid w:val="00EA4961"/>
    <w:rsid w:val="00EA61FE"/>
    <w:rsid w:val="00EA6E95"/>
    <w:rsid w:val="00EB15F1"/>
    <w:rsid w:val="00EB4743"/>
    <w:rsid w:val="00EB4D37"/>
    <w:rsid w:val="00EB5A43"/>
    <w:rsid w:val="00EB73F0"/>
    <w:rsid w:val="00EC0665"/>
    <w:rsid w:val="00EC2A80"/>
    <w:rsid w:val="00EC4112"/>
    <w:rsid w:val="00EC50A8"/>
    <w:rsid w:val="00ED1547"/>
    <w:rsid w:val="00ED3798"/>
    <w:rsid w:val="00ED465C"/>
    <w:rsid w:val="00ED625C"/>
    <w:rsid w:val="00ED6E78"/>
    <w:rsid w:val="00ED7B92"/>
    <w:rsid w:val="00EE2A59"/>
    <w:rsid w:val="00EE399B"/>
    <w:rsid w:val="00EE4545"/>
    <w:rsid w:val="00EE4DCC"/>
    <w:rsid w:val="00EF27C7"/>
    <w:rsid w:val="00EF334E"/>
    <w:rsid w:val="00EF4D53"/>
    <w:rsid w:val="00F0368C"/>
    <w:rsid w:val="00F0657C"/>
    <w:rsid w:val="00F1022C"/>
    <w:rsid w:val="00F11076"/>
    <w:rsid w:val="00F11569"/>
    <w:rsid w:val="00F15AC3"/>
    <w:rsid w:val="00F2170B"/>
    <w:rsid w:val="00F21B5C"/>
    <w:rsid w:val="00F22276"/>
    <w:rsid w:val="00F26369"/>
    <w:rsid w:val="00F26AD1"/>
    <w:rsid w:val="00F26F0A"/>
    <w:rsid w:val="00F30C78"/>
    <w:rsid w:val="00F321EE"/>
    <w:rsid w:val="00F3651B"/>
    <w:rsid w:val="00F37302"/>
    <w:rsid w:val="00F40260"/>
    <w:rsid w:val="00F41425"/>
    <w:rsid w:val="00F4731A"/>
    <w:rsid w:val="00F47FE1"/>
    <w:rsid w:val="00F52169"/>
    <w:rsid w:val="00F5219B"/>
    <w:rsid w:val="00F52DC4"/>
    <w:rsid w:val="00F55C99"/>
    <w:rsid w:val="00F60413"/>
    <w:rsid w:val="00F62D94"/>
    <w:rsid w:val="00F656D1"/>
    <w:rsid w:val="00F660F5"/>
    <w:rsid w:val="00F71F6F"/>
    <w:rsid w:val="00F748FE"/>
    <w:rsid w:val="00F75792"/>
    <w:rsid w:val="00F75C90"/>
    <w:rsid w:val="00F84C20"/>
    <w:rsid w:val="00F84DB8"/>
    <w:rsid w:val="00F90307"/>
    <w:rsid w:val="00F9154A"/>
    <w:rsid w:val="00F91ADA"/>
    <w:rsid w:val="00F91D9E"/>
    <w:rsid w:val="00F9448E"/>
    <w:rsid w:val="00F9653A"/>
    <w:rsid w:val="00FA5CE0"/>
    <w:rsid w:val="00FB40E0"/>
    <w:rsid w:val="00FB494A"/>
    <w:rsid w:val="00FB6FA1"/>
    <w:rsid w:val="00FB797B"/>
    <w:rsid w:val="00FC0C17"/>
    <w:rsid w:val="00FC79E3"/>
    <w:rsid w:val="00FC7F87"/>
    <w:rsid w:val="00FD18C4"/>
    <w:rsid w:val="00FD1DD5"/>
    <w:rsid w:val="00FD2003"/>
    <w:rsid w:val="00FE0084"/>
    <w:rsid w:val="00FE25C5"/>
    <w:rsid w:val="00FE26BF"/>
    <w:rsid w:val="00FE2CF1"/>
    <w:rsid w:val="00FE38E8"/>
    <w:rsid w:val="00FE4675"/>
    <w:rsid w:val="00FF069F"/>
    <w:rsid w:val="00FF13B6"/>
    <w:rsid w:val="00FF1895"/>
    <w:rsid w:val="00FF4AD7"/>
    <w:rsid w:val="00FF50D6"/>
    <w:rsid w:val="01564995"/>
    <w:rsid w:val="01BD4077"/>
    <w:rsid w:val="01DD106E"/>
    <w:rsid w:val="01F176F8"/>
    <w:rsid w:val="021348F6"/>
    <w:rsid w:val="026775A2"/>
    <w:rsid w:val="02A429BD"/>
    <w:rsid w:val="04803900"/>
    <w:rsid w:val="06044F47"/>
    <w:rsid w:val="06F4717A"/>
    <w:rsid w:val="071508D4"/>
    <w:rsid w:val="07AA4945"/>
    <w:rsid w:val="07CC0E71"/>
    <w:rsid w:val="07F30854"/>
    <w:rsid w:val="0817287E"/>
    <w:rsid w:val="09242161"/>
    <w:rsid w:val="09636DE3"/>
    <w:rsid w:val="09A73E9B"/>
    <w:rsid w:val="09CC4292"/>
    <w:rsid w:val="0A34760E"/>
    <w:rsid w:val="0B6558C0"/>
    <w:rsid w:val="0B7403D0"/>
    <w:rsid w:val="0BA933ED"/>
    <w:rsid w:val="0BB52B60"/>
    <w:rsid w:val="0BE029FC"/>
    <w:rsid w:val="0C180798"/>
    <w:rsid w:val="0C2D30DA"/>
    <w:rsid w:val="0DD56473"/>
    <w:rsid w:val="0E8F1435"/>
    <w:rsid w:val="0E8F25E0"/>
    <w:rsid w:val="0F122D22"/>
    <w:rsid w:val="0F4C6376"/>
    <w:rsid w:val="0F4E618A"/>
    <w:rsid w:val="0FB73A1F"/>
    <w:rsid w:val="0FBB33D1"/>
    <w:rsid w:val="10172A20"/>
    <w:rsid w:val="108725BC"/>
    <w:rsid w:val="10DB5B58"/>
    <w:rsid w:val="112C43F3"/>
    <w:rsid w:val="11A747DE"/>
    <w:rsid w:val="12864C85"/>
    <w:rsid w:val="12963262"/>
    <w:rsid w:val="12E732D3"/>
    <w:rsid w:val="13826A06"/>
    <w:rsid w:val="13DF1AA7"/>
    <w:rsid w:val="13E13032"/>
    <w:rsid w:val="142D2812"/>
    <w:rsid w:val="14CD61C8"/>
    <w:rsid w:val="15DA734A"/>
    <w:rsid w:val="16DE3576"/>
    <w:rsid w:val="17CA10AE"/>
    <w:rsid w:val="181A7495"/>
    <w:rsid w:val="18365CFA"/>
    <w:rsid w:val="18500C94"/>
    <w:rsid w:val="18A41A6C"/>
    <w:rsid w:val="18DA45EA"/>
    <w:rsid w:val="18DD6517"/>
    <w:rsid w:val="19632832"/>
    <w:rsid w:val="19A20BBB"/>
    <w:rsid w:val="19CD0A55"/>
    <w:rsid w:val="19FC763C"/>
    <w:rsid w:val="1A8C7B66"/>
    <w:rsid w:val="1AE2691A"/>
    <w:rsid w:val="1AF044C1"/>
    <w:rsid w:val="1B4F4B93"/>
    <w:rsid w:val="1B593EEC"/>
    <w:rsid w:val="1B8C2F55"/>
    <w:rsid w:val="1BD56F23"/>
    <w:rsid w:val="1C0D4B3A"/>
    <w:rsid w:val="1C37193A"/>
    <w:rsid w:val="1C390942"/>
    <w:rsid w:val="1DAC210D"/>
    <w:rsid w:val="1DAD3AAA"/>
    <w:rsid w:val="1DC95DA3"/>
    <w:rsid w:val="1E060295"/>
    <w:rsid w:val="1E441DC4"/>
    <w:rsid w:val="1E5163AB"/>
    <w:rsid w:val="1E584D87"/>
    <w:rsid w:val="1EAB3D63"/>
    <w:rsid w:val="1F41711A"/>
    <w:rsid w:val="1F96322F"/>
    <w:rsid w:val="202B4FDB"/>
    <w:rsid w:val="20855DFE"/>
    <w:rsid w:val="20AA2775"/>
    <w:rsid w:val="20BA0959"/>
    <w:rsid w:val="20CC33B3"/>
    <w:rsid w:val="20E6513A"/>
    <w:rsid w:val="21374CD0"/>
    <w:rsid w:val="21481B16"/>
    <w:rsid w:val="214A4A57"/>
    <w:rsid w:val="21597EE7"/>
    <w:rsid w:val="22425874"/>
    <w:rsid w:val="229213FB"/>
    <w:rsid w:val="22C35463"/>
    <w:rsid w:val="22D74C72"/>
    <w:rsid w:val="2356238E"/>
    <w:rsid w:val="237E4FD9"/>
    <w:rsid w:val="23AF7074"/>
    <w:rsid w:val="23D72CC5"/>
    <w:rsid w:val="24520FBD"/>
    <w:rsid w:val="24BF48B4"/>
    <w:rsid w:val="252A321B"/>
    <w:rsid w:val="254F18F6"/>
    <w:rsid w:val="255736FB"/>
    <w:rsid w:val="25B06D01"/>
    <w:rsid w:val="25DE26D0"/>
    <w:rsid w:val="260D0026"/>
    <w:rsid w:val="26B1359A"/>
    <w:rsid w:val="26F11B06"/>
    <w:rsid w:val="271C1F19"/>
    <w:rsid w:val="27366CA1"/>
    <w:rsid w:val="27506B58"/>
    <w:rsid w:val="27B0758A"/>
    <w:rsid w:val="27D20B74"/>
    <w:rsid w:val="28137B19"/>
    <w:rsid w:val="28CB1E7F"/>
    <w:rsid w:val="29B52F68"/>
    <w:rsid w:val="2A032F13"/>
    <w:rsid w:val="2A36174A"/>
    <w:rsid w:val="2A570389"/>
    <w:rsid w:val="2A596DBA"/>
    <w:rsid w:val="2A6317CC"/>
    <w:rsid w:val="2A6B59EA"/>
    <w:rsid w:val="2A9A7DE2"/>
    <w:rsid w:val="2B0F5202"/>
    <w:rsid w:val="2BC17E8B"/>
    <w:rsid w:val="2BF0617D"/>
    <w:rsid w:val="2CA3146B"/>
    <w:rsid w:val="2CCB0EBC"/>
    <w:rsid w:val="2CF161C1"/>
    <w:rsid w:val="2CF17281"/>
    <w:rsid w:val="2D1E74AB"/>
    <w:rsid w:val="2DE756D3"/>
    <w:rsid w:val="2E052F4C"/>
    <w:rsid w:val="2F070AC5"/>
    <w:rsid w:val="2F8F2BCC"/>
    <w:rsid w:val="2FCE76C6"/>
    <w:rsid w:val="30060AC2"/>
    <w:rsid w:val="3015365E"/>
    <w:rsid w:val="30567728"/>
    <w:rsid w:val="3082394D"/>
    <w:rsid w:val="31315B9F"/>
    <w:rsid w:val="315150CF"/>
    <w:rsid w:val="31DC0FE0"/>
    <w:rsid w:val="327E4A50"/>
    <w:rsid w:val="328624A5"/>
    <w:rsid w:val="32B91A02"/>
    <w:rsid w:val="32E847CF"/>
    <w:rsid w:val="334D791B"/>
    <w:rsid w:val="33E830BD"/>
    <w:rsid w:val="3439451D"/>
    <w:rsid w:val="34DE1ABD"/>
    <w:rsid w:val="350607E9"/>
    <w:rsid w:val="35083766"/>
    <w:rsid w:val="353F3CFB"/>
    <w:rsid w:val="35463779"/>
    <w:rsid w:val="354B20A1"/>
    <w:rsid w:val="35AB75E3"/>
    <w:rsid w:val="35D07049"/>
    <w:rsid w:val="362D539C"/>
    <w:rsid w:val="362D68EC"/>
    <w:rsid w:val="365A76DD"/>
    <w:rsid w:val="369B434D"/>
    <w:rsid w:val="36DE2DDB"/>
    <w:rsid w:val="36EA1D24"/>
    <w:rsid w:val="37F42B6B"/>
    <w:rsid w:val="38BB5D8F"/>
    <w:rsid w:val="394A6C17"/>
    <w:rsid w:val="39EB2BDE"/>
    <w:rsid w:val="39EF3F42"/>
    <w:rsid w:val="3A1420D7"/>
    <w:rsid w:val="3A2B4A28"/>
    <w:rsid w:val="3A40479E"/>
    <w:rsid w:val="3ADE2074"/>
    <w:rsid w:val="3B2D5C3E"/>
    <w:rsid w:val="3BE03A5D"/>
    <w:rsid w:val="3C2B590C"/>
    <w:rsid w:val="3CF135A9"/>
    <w:rsid w:val="3D7D7E01"/>
    <w:rsid w:val="3DE64760"/>
    <w:rsid w:val="3DFB428F"/>
    <w:rsid w:val="3E076F2F"/>
    <w:rsid w:val="3E426BB7"/>
    <w:rsid w:val="3F15023A"/>
    <w:rsid w:val="3F275F2C"/>
    <w:rsid w:val="3F744EE9"/>
    <w:rsid w:val="3FC72A05"/>
    <w:rsid w:val="40D810FE"/>
    <w:rsid w:val="40DE261A"/>
    <w:rsid w:val="41907595"/>
    <w:rsid w:val="41D1334A"/>
    <w:rsid w:val="42162288"/>
    <w:rsid w:val="4218007C"/>
    <w:rsid w:val="42E47C6D"/>
    <w:rsid w:val="42F36340"/>
    <w:rsid w:val="430A1826"/>
    <w:rsid w:val="437C5F7F"/>
    <w:rsid w:val="43891E0A"/>
    <w:rsid w:val="438C3900"/>
    <w:rsid w:val="43DB097C"/>
    <w:rsid w:val="440A3B27"/>
    <w:rsid w:val="441B42EB"/>
    <w:rsid w:val="44385F83"/>
    <w:rsid w:val="44944E20"/>
    <w:rsid w:val="44E872A8"/>
    <w:rsid w:val="45027F43"/>
    <w:rsid w:val="454977CF"/>
    <w:rsid w:val="45D025A1"/>
    <w:rsid w:val="4649141A"/>
    <w:rsid w:val="46F9762E"/>
    <w:rsid w:val="4702443D"/>
    <w:rsid w:val="470B7EE1"/>
    <w:rsid w:val="4803473B"/>
    <w:rsid w:val="480430B7"/>
    <w:rsid w:val="480D406B"/>
    <w:rsid w:val="482B00E0"/>
    <w:rsid w:val="482E4298"/>
    <w:rsid w:val="48460FC9"/>
    <w:rsid w:val="48595BA0"/>
    <w:rsid w:val="488B7E75"/>
    <w:rsid w:val="48E07750"/>
    <w:rsid w:val="48FD2991"/>
    <w:rsid w:val="496C0B5A"/>
    <w:rsid w:val="49864024"/>
    <w:rsid w:val="49B52386"/>
    <w:rsid w:val="4A1838E0"/>
    <w:rsid w:val="4A7973CC"/>
    <w:rsid w:val="4A8E50B1"/>
    <w:rsid w:val="4AC65027"/>
    <w:rsid w:val="4AC97116"/>
    <w:rsid w:val="4B2A07E8"/>
    <w:rsid w:val="4B334494"/>
    <w:rsid w:val="4B343CCD"/>
    <w:rsid w:val="4B6D116B"/>
    <w:rsid w:val="4BBF3594"/>
    <w:rsid w:val="4BE435B0"/>
    <w:rsid w:val="4C0D2006"/>
    <w:rsid w:val="4C4249D5"/>
    <w:rsid w:val="4C6F7950"/>
    <w:rsid w:val="4C7D5CAE"/>
    <w:rsid w:val="4D3C5F90"/>
    <w:rsid w:val="4D3E2E92"/>
    <w:rsid w:val="4D497D97"/>
    <w:rsid w:val="4D9D4B76"/>
    <w:rsid w:val="4E2B3D32"/>
    <w:rsid w:val="4E310C0C"/>
    <w:rsid w:val="4E515868"/>
    <w:rsid w:val="4E800F87"/>
    <w:rsid w:val="4EB81818"/>
    <w:rsid w:val="4ED73CEC"/>
    <w:rsid w:val="4EEA719B"/>
    <w:rsid w:val="4F29249D"/>
    <w:rsid w:val="4F49473C"/>
    <w:rsid w:val="4F8E345D"/>
    <w:rsid w:val="4FC534DE"/>
    <w:rsid w:val="500B6507"/>
    <w:rsid w:val="500E1385"/>
    <w:rsid w:val="506C3BBD"/>
    <w:rsid w:val="50865C58"/>
    <w:rsid w:val="50BB49D3"/>
    <w:rsid w:val="51257DF2"/>
    <w:rsid w:val="515E407A"/>
    <w:rsid w:val="5161270B"/>
    <w:rsid w:val="51761456"/>
    <w:rsid w:val="52273FCE"/>
    <w:rsid w:val="522F1868"/>
    <w:rsid w:val="53244E50"/>
    <w:rsid w:val="53454EB9"/>
    <w:rsid w:val="53764710"/>
    <w:rsid w:val="54030829"/>
    <w:rsid w:val="549C486F"/>
    <w:rsid w:val="54C85E88"/>
    <w:rsid w:val="54D7702F"/>
    <w:rsid w:val="55333D7E"/>
    <w:rsid w:val="553849B5"/>
    <w:rsid w:val="56707ED7"/>
    <w:rsid w:val="56BC2FA6"/>
    <w:rsid w:val="56D83C26"/>
    <w:rsid w:val="56EB7A71"/>
    <w:rsid w:val="56F40EA8"/>
    <w:rsid w:val="56F85AB6"/>
    <w:rsid w:val="57F73D37"/>
    <w:rsid w:val="57FD6135"/>
    <w:rsid w:val="582C1B97"/>
    <w:rsid w:val="58304F3B"/>
    <w:rsid w:val="58D01518"/>
    <w:rsid w:val="592D1D9B"/>
    <w:rsid w:val="59372DB8"/>
    <w:rsid w:val="59FE7432"/>
    <w:rsid w:val="5A3B2D67"/>
    <w:rsid w:val="5AC93C88"/>
    <w:rsid w:val="5AFC3A2E"/>
    <w:rsid w:val="5B0E44E3"/>
    <w:rsid w:val="5B1769FD"/>
    <w:rsid w:val="5B67083D"/>
    <w:rsid w:val="5B876AF2"/>
    <w:rsid w:val="5B9A0723"/>
    <w:rsid w:val="5C02756B"/>
    <w:rsid w:val="5C934EC9"/>
    <w:rsid w:val="5D36409F"/>
    <w:rsid w:val="5D4B5418"/>
    <w:rsid w:val="5D994ED3"/>
    <w:rsid w:val="5DC92EA4"/>
    <w:rsid w:val="5E204C59"/>
    <w:rsid w:val="5E525956"/>
    <w:rsid w:val="5ECC7AFE"/>
    <w:rsid w:val="5F7447F0"/>
    <w:rsid w:val="5FCB5246"/>
    <w:rsid w:val="5FCE3EC6"/>
    <w:rsid w:val="60051F07"/>
    <w:rsid w:val="602520C2"/>
    <w:rsid w:val="60CC6ED7"/>
    <w:rsid w:val="60CF1B28"/>
    <w:rsid w:val="61281743"/>
    <w:rsid w:val="61627777"/>
    <w:rsid w:val="6178126B"/>
    <w:rsid w:val="61816AA8"/>
    <w:rsid w:val="61F67C78"/>
    <w:rsid w:val="62182475"/>
    <w:rsid w:val="62954BF2"/>
    <w:rsid w:val="62BB2E7C"/>
    <w:rsid w:val="62CC3F12"/>
    <w:rsid w:val="63DC07E4"/>
    <w:rsid w:val="63E44F41"/>
    <w:rsid w:val="64CA506C"/>
    <w:rsid w:val="64CF0A60"/>
    <w:rsid w:val="64E853DA"/>
    <w:rsid w:val="650F26E1"/>
    <w:rsid w:val="65375DDA"/>
    <w:rsid w:val="65561C5C"/>
    <w:rsid w:val="659E001A"/>
    <w:rsid w:val="65B66C75"/>
    <w:rsid w:val="65D73D6C"/>
    <w:rsid w:val="65EB7E5A"/>
    <w:rsid w:val="66794A10"/>
    <w:rsid w:val="66A12093"/>
    <w:rsid w:val="66F6605C"/>
    <w:rsid w:val="67146104"/>
    <w:rsid w:val="67151D27"/>
    <w:rsid w:val="67AC777C"/>
    <w:rsid w:val="67FC77A9"/>
    <w:rsid w:val="68563AB3"/>
    <w:rsid w:val="692527B0"/>
    <w:rsid w:val="69486525"/>
    <w:rsid w:val="69C871E5"/>
    <w:rsid w:val="69D828B5"/>
    <w:rsid w:val="6A136888"/>
    <w:rsid w:val="6AA57E39"/>
    <w:rsid w:val="6B67752D"/>
    <w:rsid w:val="6BBB1626"/>
    <w:rsid w:val="6C0056A1"/>
    <w:rsid w:val="6C982E0F"/>
    <w:rsid w:val="6C9F2CF6"/>
    <w:rsid w:val="6CFE40D9"/>
    <w:rsid w:val="6D8048D6"/>
    <w:rsid w:val="6E796C4A"/>
    <w:rsid w:val="6EAB2050"/>
    <w:rsid w:val="6F5B27FA"/>
    <w:rsid w:val="6FA768BC"/>
    <w:rsid w:val="70367D7B"/>
    <w:rsid w:val="704E64CD"/>
    <w:rsid w:val="707662E3"/>
    <w:rsid w:val="70DB1A30"/>
    <w:rsid w:val="70F52EE5"/>
    <w:rsid w:val="71AD74DE"/>
    <w:rsid w:val="724D77BB"/>
    <w:rsid w:val="726B1F4B"/>
    <w:rsid w:val="72A811B3"/>
    <w:rsid w:val="72C75E2E"/>
    <w:rsid w:val="72F74D38"/>
    <w:rsid w:val="732C6585"/>
    <w:rsid w:val="73DB4062"/>
    <w:rsid w:val="73EF0121"/>
    <w:rsid w:val="74274FCC"/>
    <w:rsid w:val="743440BB"/>
    <w:rsid w:val="74575644"/>
    <w:rsid w:val="749515DB"/>
    <w:rsid w:val="74DE6FE1"/>
    <w:rsid w:val="74F6722B"/>
    <w:rsid w:val="75355FA6"/>
    <w:rsid w:val="757F6EB5"/>
    <w:rsid w:val="76683547"/>
    <w:rsid w:val="76A5715B"/>
    <w:rsid w:val="76D16B62"/>
    <w:rsid w:val="76F24A6A"/>
    <w:rsid w:val="77295CB1"/>
    <w:rsid w:val="7733165E"/>
    <w:rsid w:val="7765443F"/>
    <w:rsid w:val="778C0659"/>
    <w:rsid w:val="77E0436F"/>
    <w:rsid w:val="78526D22"/>
    <w:rsid w:val="78C80EB7"/>
    <w:rsid w:val="794744F9"/>
    <w:rsid w:val="796D3AD3"/>
    <w:rsid w:val="79A33FA4"/>
    <w:rsid w:val="79B02AD4"/>
    <w:rsid w:val="7B114DBF"/>
    <w:rsid w:val="7BD0125E"/>
    <w:rsid w:val="7BD96D38"/>
    <w:rsid w:val="7BDA78A7"/>
    <w:rsid w:val="7BFE6555"/>
    <w:rsid w:val="7C9E5372"/>
    <w:rsid w:val="7CA57EB5"/>
    <w:rsid w:val="7D5D179E"/>
    <w:rsid w:val="7D9F4FD9"/>
    <w:rsid w:val="7DCD1314"/>
    <w:rsid w:val="7DD877C6"/>
    <w:rsid w:val="7E0C7AC0"/>
    <w:rsid w:val="7F1E5B9E"/>
    <w:rsid w:val="7F227BB1"/>
    <w:rsid w:val="7F54529C"/>
    <w:rsid w:val="7FBD3842"/>
    <w:rsid w:val="7FCB6D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semiHidden="0" w:qFormat="1"/>
    <w:lsdException w:name="endnote reference" w:qFormat="1"/>
    <w:lsdException w:name="endnote text"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pPr>
      <w:keepNext/>
      <w:keepLines/>
      <w:spacing w:after="0" w:line="360" w:lineRule="auto"/>
      <w:ind w:firstLineChars="200" w:firstLine="640"/>
      <w:outlineLvl w:val="1"/>
    </w:pPr>
    <w:rPr>
      <w:rFonts w:ascii="黑体" w:eastAsia="黑体" w:hAnsi="黑体" w:cstheme="majorBidi"/>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spacing w:after="120" w:line="480" w:lineRule="auto"/>
      <w:ind w:leftChars="200" w:left="420"/>
    </w:pPr>
    <w:rPr>
      <w:rFonts w:ascii="Times New Roman" w:eastAsia="宋体" w:hAnsi="Times New Roman" w:cs="Times New Roman"/>
    </w:rPr>
  </w:style>
  <w:style w:type="paragraph" w:styleId="3">
    <w:name w:val="toc 3"/>
    <w:basedOn w:val="a"/>
    <w:next w:val="a"/>
    <w:uiPriority w:val="39"/>
    <w:semiHidden/>
    <w:unhideWhenUsed/>
    <w:qFormat/>
    <w:pPr>
      <w:adjustRightInd/>
      <w:snapToGrid/>
      <w:spacing w:after="100" w:line="276" w:lineRule="auto"/>
      <w:ind w:left="440"/>
    </w:pPr>
    <w:rPr>
      <w:rFonts w:asciiTheme="minorHAnsi" w:eastAsiaTheme="minorEastAsia" w:hAnsiTheme="minorHAnsi"/>
    </w:rPr>
  </w:style>
  <w:style w:type="paragraph" w:styleId="a3">
    <w:name w:val="endnote text"/>
    <w:basedOn w:val="a"/>
    <w:link w:val="Char"/>
    <w:uiPriority w:val="99"/>
    <w:semiHidden/>
    <w:unhideWhenUsed/>
    <w:qFormat/>
  </w:style>
  <w:style w:type="paragraph" w:styleId="a4">
    <w:name w:val="Balloon Text"/>
    <w:basedOn w:val="a"/>
    <w:link w:val="Char0"/>
    <w:uiPriority w:val="99"/>
    <w:unhideWhenUsed/>
    <w:qFormat/>
    <w:pPr>
      <w:spacing w:after="0"/>
    </w:pPr>
    <w:rPr>
      <w:sz w:val="18"/>
      <w:szCs w:val="18"/>
    </w:rPr>
  </w:style>
  <w:style w:type="paragraph" w:styleId="a5">
    <w:name w:val="footer"/>
    <w:basedOn w:val="a"/>
    <w:link w:val="Char1"/>
    <w:uiPriority w:val="99"/>
    <w:unhideWhenUsed/>
    <w:qFormat/>
    <w:pPr>
      <w:tabs>
        <w:tab w:val="center" w:pos="4153"/>
        <w:tab w:val="right" w:pos="8306"/>
      </w:tabs>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semiHidden/>
    <w:unhideWhenUsed/>
    <w:qFormat/>
    <w:pPr>
      <w:adjustRightInd/>
      <w:snapToGrid/>
      <w:spacing w:after="100" w:line="276" w:lineRule="auto"/>
    </w:pPr>
    <w:rPr>
      <w:rFonts w:asciiTheme="minorHAnsi" w:eastAsiaTheme="minorEastAsia" w:hAnsiTheme="minorHAnsi"/>
    </w:rPr>
  </w:style>
  <w:style w:type="paragraph" w:styleId="a7">
    <w:name w:val="footnote text"/>
    <w:basedOn w:val="a"/>
    <w:link w:val="Char3"/>
    <w:uiPriority w:val="99"/>
    <w:semiHidden/>
    <w:unhideWhenUsed/>
    <w:qFormat/>
    <w:rPr>
      <w:sz w:val="18"/>
      <w:szCs w:val="18"/>
    </w:rPr>
  </w:style>
  <w:style w:type="paragraph" w:styleId="21">
    <w:name w:val="toc 2"/>
    <w:basedOn w:val="a"/>
    <w:next w:val="a"/>
    <w:uiPriority w:val="39"/>
    <w:unhideWhenUsed/>
    <w:qFormat/>
    <w:pPr>
      <w:ind w:leftChars="200" w:left="420"/>
    </w:pPr>
  </w:style>
  <w:style w:type="paragraph" w:styleId="a8">
    <w:name w:val="Normal (Web)"/>
    <w:basedOn w:val="a"/>
    <w:uiPriority w:val="99"/>
    <w:unhideWhenUsed/>
    <w:qFormat/>
    <w:rPr>
      <w:rFonts w:ascii="Times New Roman" w:hAnsi="Times New Roman" w:cs="Times New Roman"/>
      <w:sz w:val="24"/>
      <w:szCs w:val="24"/>
    </w:rPr>
  </w:style>
  <w:style w:type="character" w:styleId="a9">
    <w:name w:val="endnote reference"/>
    <w:basedOn w:val="a0"/>
    <w:uiPriority w:val="99"/>
    <w:semiHidden/>
    <w:unhideWhenUsed/>
    <w:qFormat/>
    <w:rPr>
      <w:vertAlign w:val="superscript"/>
    </w:rPr>
  </w:style>
  <w:style w:type="character" w:styleId="aa">
    <w:name w:val="Hyperlink"/>
    <w:basedOn w:val="a0"/>
    <w:uiPriority w:val="99"/>
    <w:unhideWhenUsed/>
    <w:qFormat/>
    <w:rPr>
      <w:color w:val="0000FF" w:themeColor="hyperlink"/>
      <w:u w:val="single"/>
    </w:rPr>
  </w:style>
  <w:style w:type="character" w:styleId="ab">
    <w:name w:val="footnote reference"/>
    <w:basedOn w:val="a0"/>
    <w:uiPriority w:val="99"/>
    <w:unhideWhenUsed/>
    <w:qFormat/>
    <w:rPr>
      <w:vertAlign w:val="superscript"/>
    </w:rPr>
  </w:style>
  <w:style w:type="character" w:customStyle="1" w:styleId="Char2">
    <w:name w:val="页眉 Char"/>
    <w:basedOn w:val="a0"/>
    <w:link w:val="a6"/>
    <w:uiPriority w:val="99"/>
    <w:semiHidden/>
    <w:qFormat/>
    <w:rPr>
      <w:rFonts w:ascii="Tahoma" w:hAnsi="Tahoma"/>
      <w:sz w:val="18"/>
      <w:szCs w:val="18"/>
    </w:rPr>
  </w:style>
  <w:style w:type="character" w:customStyle="1" w:styleId="Char1">
    <w:name w:val="页脚 Char"/>
    <w:basedOn w:val="a0"/>
    <w:link w:val="a5"/>
    <w:uiPriority w:val="99"/>
    <w:qFormat/>
    <w:rPr>
      <w:rFonts w:ascii="Tahoma" w:hAnsi="Tahoma"/>
      <w:sz w:val="18"/>
      <w:szCs w:val="18"/>
    </w:rPr>
  </w:style>
  <w:style w:type="paragraph" w:customStyle="1" w:styleId="WPSOffice1">
    <w:name w:val="WPSOffice手动目录 1"/>
    <w:qFormat/>
    <w:rPr>
      <w:rFonts w:asciiTheme="minorHAnsi" w:eastAsia="微软雅黑" w:hAnsiTheme="minorHAnsi" w:cstheme="minorBidi"/>
    </w:rPr>
  </w:style>
  <w:style w:type="character" w:customStyle="1" w:styleId="Char0">
    <w:name w:val="批注框文本 Char"/>
    <w:basedOn w:val="a0"/>
    <w:link w:val="a4"/>
    <w:uiPriority w:val="99"/>
    <w:semiHidden/>
    <w:qFormat/>
    <w:rPr>
      <w:rFonts w:ascii="Tahoma" w:hAnsi="Tahoma"/>
      <w:sz w:val="18"/>
      <w:szCs w:val="18"/>
    </w:rPr>
  </w:style>
  <w:style w:type="paragraph" w:customStyle="1" w:styleId="11">
    <w:name w:val="列出段落1"/>
    <w:basedOn w:val="a"/>
    <w:uiPriority w:val="34"/>
    <w:qFormat/>
    <w:pPr>
      <w:ind w:firstLineChars="200" w:firstLine="420"/>
    </w:pPr>
  </w:style>
  <w:style w:type="paragraph" w:styleId="ac">
    <w:name w:val="List Paragraph"/>
    <w:basedOn w:val="a"/>
    <w:uiPriority w:val="99"/>
    <w:unhideWhenUsed/>
    <w:qFormat/>
    <w:pPr>
      <w:ind w:firstLineChars="200" w:firstLine="420"/>
    </w:pPr>
  </w:style>
  <w:style w:type="character" w:customStyle="1" w:styleId="Char3">
    <w:name w:val="脚注文本 Char"/>
    <w:basedOn w:val="a0"/>
    <w:link w:val="a7"/>
    <w:uiPriority w:val="99"/>
    <w:semiHidden/>
    <w:qFormat/>
    <w:rPr>
      <w:rFonts w:ascii="Tahoma" w:hAnsi="Tahoma"/>
      <w:sz w:val="18"/>
      <w:szCs w:val="18"/>
    </w:rPr>
  </w:style>
  <w:style w:type="character" w:customStyle="1" w:styleId="2Char">
    <w:name w:val="标题 2 Char"/>
    <w:basedOn w:val="a0"/>
    <w:link w:val="20"/>
    <w:uiPriority w:val="9"/>
    <w:qFormat/>
    <w:rPr>
      <w:rFonts w:ascii="黑体" w:eastAsia="黑体" w:hAnsi="黑体" w:cstheme="majorBidi"/>
      <w:bCs/>
      <w:sz w:val="32"/>
      <w:szCs w:val="32"/>
    </w:rPr>
  </w:style>
  <w:style w:type="character" w:customStyle="1" w:styleId="Char">
    <w:name w:val="尾注文本 Char"/>
    <w:basedOn w:val="a0"/>
    <w:link w:val="a3"/>
    <w:uiPriority w:val="99"/>
    <w:semiHidden/>
    <w:qFormat/>
    <w:rPr>
      <w:rFonts w:ascii="Tahoma" w:eastAsia="微软雅黑" w:hAnsi="Tahoma" w:cstheme="minorBidi"/>
      <w:sz w:val="22"/>
      <w:szCs w:val="22"/>
    </w:rPr>
  </w:style>
  <w:style w:type="character" w:customStyle="1" w:styleId="1Char">
    <w:name w:val="标题 1 Char"/>
    <w:basedOn w:val="a0"/>
    <w:link w:val="1"/>
    <w:uiPriority w:val="9"/>
    <w:qFormat/>
    <w:rPr>
      <w:rFonts w:ascii="Tahoma" w:eastAsia="微软雅黑" w:hAnsi="Tahoma" w:cstheme="minorBidi"/>
      <w:b/>
      <w:bCs/>
      <w:kern w:val="44"/>
      <w:sz w:val="44"/>
      <w:szCs w:val="44"/>
    </w:rPr>
  </w:style>
  <w:style w:type="paragraph" w:customStyle="1" w:styleId="TOC1">
    <w:name w:val="TOC 标题1"/>
    <w:basedOn w:val="1"/>
    <w:next w:val="a"/>
    <w:uiPriority w:val="39"/>
    <w:semiHidden/>
    <w:unhideWhenUsed/>
    <w:qFormat/>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120461-B265-47C8-9C38-EF00EF80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4204</Words>
  <Characters>1758</Characters>
  <Application>Microsoft Office Word</Application>
  <DocSecurity>0</DocSecurity>
  <Lines>14</Lines>
  <Paragraphs>11</Paragraphs>
  <ScaleCrop>false</ScaleCrop>
  <Company>微软中国</Company>
  <LinksUpToDate>false</LinksUpToDate>
  <CharactersWithSpaces>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3</cp:revision>
  <cp:lastPrinted>2024-07-25T00:36:00Z</cp:lastPrinted>
  <dcterms:created xsi:type="dcterms:W3CDTF">2024-09-09T00:17:00Z</dcterms:created>
  <dcterms:modified xsi:type="dcterms:W3CDTF">2024-09-09T03:34:00Z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FA657D528173482CB394B1F49C29E508_13</vt:lpwstr>
  </property>
</Properties>
</file>