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center"/>
        <w:rPr>
          <w:rFonts w:asciiTheme="minorEastAsia" w:hAnsiTheme="minorEastAsia" w:eastAsiaTheme="minorEastAsia"/>
          <w:sz w:val="48"/>
          <w:szCs w:val="48"/>
        </w:rPr>
      </w:pPr>
    </w:p>
    <w:p>
      <w:pPr>
        <w:spacing w:line="620" w:lineRule="exact"/>
        <w:jc w:val="center"/>
        <w:rPr>
          <w:rFonts w:asciiTheme="minorEastAsia" w:hAnsiTheme="minorEastAsia" w:eastAsiaTheme="minorEastAsia"/>
          <w:sz w:val="48"/>
          <w:szCs w:val="48"/>
        </w:rPr>
      </w:pPr>
    </w:p>
    <w:p>
      <w:pPr>
        <w:spacing w:line="62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天津市滨海新区“5</w:t>
      </w:r>
      <w:r>
        <w:rPr>
          <w:rFonts w:hint="eastAsia" w:ascii="宋体" w:hAnsi="宋体" w:eastAsia="宋体" w:cs="宋体"/>
          <w:bCs/>
          <w:sz w:val="44"/>
          <w:szCs w:val="44"/>
        </w:rPr>
        <w:t>•</w:t>
      </w:r>
      <w:r>
        <w:rPr>
          <w:rFonts w:hint="eastAsia" w:ascii="方正小标宋简体" w:hAnsi="方正小标宋简体" w:eastAsia="方正小标宋简体" w:cs="方正小标宋简体"/>
          <w:bCs/>
          <w:sz w:val="44"/>
          <w:szCs w:val="44"/>
        </w:rPr>
        <w:t>26”一般叉车</w:t>
      </w:r>
    </w:p>
    <w:p>
      <w:pPr>
        <w:spacing w:line="62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坠落相关事故调查报告</w:t>
      </w:r>
    </w:p>
    <w:p>
      <w:pPr>
        <w:spacing w:line="620" w:lineRule="exact"/>
        <w:jc w:val="center"/>
        <w:rPr>
          <w:rFonts w:ascii="方正小标宋简体" w:hAnsi="方正小标宋简体" w:eastAsia="方正小标宋简体" w:cs="方正小标宋简体"/>
          <w:sz w:val="44"/>
          <w:szCs w:val="44"/>
        </w:rPr>
      </w:pPr>
    </w:p>
    <w:p>
      <w:pPr>
        <w:spacing w:line="620" w:lineRule="exact"/>
        <w:jc w:val="center"/>
        <w:rPr>
          <w:rFonts w:ascii="方正小标宋简体" w:hAnsi="方正小标宋简体" w:eastAsia="方正小标宋简体" w:cs="方正小标宋简体"/>
          <w:sz w:val="44"/>
          <w:szCs w:val="44"/>
        </w:rPr>
      </w:pPr>
    </w:p>
    <w:p>
      <w:pPr>
        <w:spacing w:line="620" w:lineRule="exact"/>
        <w:jc w:val="center"/>
        <w:rPr>
          <w:rFonts w:ascii="方正小标宋简体" w:hAnsi="方正小标宋简体" w:eastAsia="方正小标宋简体" w:cs="方正小标宋简体"/>
          <w:sz w:val="44"/>
          <w:szCs w:val="44"/>
        </w:rPr>
      </w:pPr>
    </w:p>
    <w:p>
      <w:pPr>
        <w:spacing w:line="620" w:lineRule="exact"/>
        <w:jc w:val="center"/>
        <w:rPr>
          <w:rFonts w:ascii="方正小标宋简体" w:hAnsi="方正小标宋简体" w:eastAsia="方正小标宋简体" w:cs="方正小标宋简体"/>
          <w:sz w:val="44"/>
          <w:szCs w:val="44"/>
        </w:rPr>
      </w:pPr>
    </w:p>
    <w:p>
      <w:pPr>
        <w:spacing w:line="620" w:lineRule="exact"/>
        <w:jc w:val="both"/>
        <w:rPr>
          <w:rFonts w:ascii="方正小标宋简体" w:hAnsi="方正小标宋简体" w:eastAsia="方正小标宋简体" w:cs="方正小标宋简体"/>
          <w:sz w:val="44"/>
          <w:szCs w:val="44"/>
        </w:rPr>
      </w:pPr>
    </w:p>
    <w:p>
      <w:pPr>
        <w:spacing w:line="620" w:lineRule="exact"/>
        <w:jc w:val="center"/>
        <w:rPr>
          <w:rFonts w:ascii="方正小标宋简体" w:hAnsi="方正小标宋简体" w:eastAsia="方正小标宋简体" w:cs="方正小标宋简体"/>
          <w:sz w:val="24"/>
          <w:szCs w:val="24"/>
        </w:rPr>
      </w:pPr>
    </w:p>
    <w:p>
      <w:pPr>
        <w:pStyle w:val="2"/>
        <w:ind w:left="440"/>
      </w:pPr>
    </w:p>
    <w:p>
      <w:pPr>
        <w:pStyle w:val="2"/>
        <w:ind w:left="440"/>
      </w:pPr>
    </w:p>
    <w:p>
      <w:pPr>
        <w:widowControl w:val="0"/>
        <w:adjustRightInd/>
        <w:snapToGrid/>
        <w:spacing w:line="560" w:lineRule="exact"/>
        <w:jc w:val="center"/>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天津市滨海新区“5</w:t>
      </w:r>
      <w:r>
        <w:rPr>
          <w:rFonts w:hint="eastAsia" w:ascii="宋体" w:hAnsi="宋体" w:eastAsia="宋体" w:cs="宋体"/>
          <w:sz w:val="32"/>
          <w:szCs w:val="32"/>
          <w:shd w:val="clear" w:color="auto" w:fill="FFFFFF"/>
        </w:rPr>
        <w:t>•</w:t>
      </w:r>
      <w:r>
        <w:rPr>
          <w:rFonts w:hint="eastAsia" w:ascii="仿宋_GB2312" w:hAnsi="仿宋_GB2312" w:eastAsia="仿宋_GB2312" w:cs="仿宋_GB2312"/>
          <w:sz w:val="32"/>
          <w:szCs w:val="32"/>
          <w:shd w:val="clear" w:color="auto" w:fill="FFFFFF"/>
        </w:rPr>
        <w:t>26”一般叉车坠落相关事故调查组</w:t>
      </w:r>
    </w:p>
    <w:p>
      <w:pPr>
        <w:widowControl w:val="0"/>
        <w:adjustRightInd/>
        <w:snapToGrid/>
        <w:spacing w:line="560" w:lineRule="exact"/>
        <w:jc w:val="center"/>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2023年8月</w:t>
      </w:r>
    </w:p>
    <w:p>
      <w:pPr>
        <w:spacing w:line="620" w:lineRule="exact"/>
        <w:jc w:val="center"/>
        <w:rPr>
          <w:rFonts w:ascii="方正小标宋简体" w:hAnsi="方正小标宋简体" w:eastAsia="方正小标宋简体" w:cs="方正小标宋简体"/>
          <w:sz w:val="44"/>
          <w:szCs w:val="44"/>
        </w:rPr>
        <w:sectPr>
          <w:footnotePr>
            <w:numRestart w:val="eachPage"/>
          </w:footnotePr>
          <w:pgSz w:w="11906" w:h="16838"/>
          <w:pgMar w:top="1440" w:right="1800" w:bottom="1440" w:left="1800" w:header="708" w:footer="708" w:gutter="0"/>
          <w:cols w:space="708" w:num="1"/>
          <w:docGrid w:type="lines" w:linePitch="360" w:charSpace="0"/>
        </w:sectPr>
      </w:pPr>
    </w:p>
    <w:p>
      <w:pPr>
        <w:pStyle w:val="21"/>
        <w:tabs>
          <w:tab w:val="right" w:leader="dot" w:pos="8306"/>
        </w:tabs>
        <w:adjustRightInd w:val="0"/>
        <w:snapToGrid w:val="0"/>
        <w:spacing w:line="620" w:lineRule="exact"/>
        <w:jc w:val="center"/>
        <w:rPr>
          <w:rFonts w:ascii="黑体" w:hAnsi="黑体" w:eastAsia="黑体" w:cs="黑体"/>
          <w:sz w:val="36"/>
          <w:szCs w:val="36"/>
        </w:rPr>
      </w:pPr>
      <w:bookmarkStart w:id="0" w:name="_Toc6810"/>
      <w:bookmarkStart w:id="1" w:name="_Toc20270"/>
      <w:bookmarkStart w:id="2" w:name="_Toc29523"/>
      <w:bookmarkStart w:id="3" w:name="_Toc11771"/>
      <w:bookmarkStart w:id="4" w:name="_Toc10968"/>
      <w:bookmarkStart w:id="5" w:name="_Toc5311_WPSOffice_Type1"/>
      <w:r>
        <w:rPr>
          <w:rFonts w:hint="eastAsia" w:ascii="黑体" w:hAnsi="黑体" w:eastAsia="黑体" w:cs="黑体"/>
          <w:sz w:val="36"/>
          <w:szCs w:val="36"/>
        </w:rPr>
        <w:t>目  录</w:t>
      </w:r>
      <w:bookmarkEnd w:id="0"/>
      <w:bookmarkEnd w:id="1"/>
      <w:bookmarkEnd w:id="2"/>
      <w:bookmarkEnd w:id="3"/>
      <w:bookmarkEnd w:id="4"/>
    </w:p>
    <w:p>
      <w:pPr>
        <w:pStyle w:val="21"/>
        <w:tabs>
          <w:tab w:val="right" w:leader="dot" w:pos="8306"/>
        </w:tabs>
        <w:adjustRightInd w:val="0"/>
        <w:snapToGrid w:val="0"/>
        <w:spacing w:line="620" w:lineRule="exact"/>
        <w:jc w:val="center"/>
        <w:rPr>
          <w:rFonts w:ascii="黑体" w:hAnsi="黑体" w:eastAsia="黑体" w:cs="黑体"/>
          <w:sz w:val="36"/>
          <w:szCs w:val="36"/>
        </w:rPr>
      </w:pPr>
    </w:p>
    <w:bookmarkEnd w:id="5"/>
    <w:p>
      <w:pPr>
        <w:pStyle w:val="12"/>
        <w:tabs>
          <w:tab w:val="right" w:leader="dot" w:pos="8306"/>
        </w:tabs>
        <w:ind w:left="440"/>
        <w:rPr>
          <w:rFonts w:ascii="Times New Roman" w:hAnsi="Times New Roman" w:cs="Times New Roman"/>
          <w:sz w:val="24"/>
          <w:szCs w:val="24"/>
        </w:rPr>
      </w:pPr>
      <w:bookmarkStart w:id="6" w:name="_Toc3186_WPSOffice_Level1"/>
      <w:r>
        <w:rPr>
          <w:rFonts w:hint="eastAsia" w:cs="方正小标宋简体" w:asciiTheme="minorEastAsia" w:hAnsiTheme="minorEastAsia" w:eastAsiaTheme="minorEastAsia"/>
          <w:b/>
          <w:sz w:val="32"/>
          <w:szCs w:val="32"/>
        </w:rPr>
        <w:fldChar w:fldCharType="begin"/>
      </w:r>
      <w:r>
        <w:rPr>
          <w:rFonts w:hint="eastAsia" w:cs="方正小标宋简体" w:asciiTheme="minorEastAsia" w:hAnsiTheme="minorEastAsia" w:eastAsiaTheme="minorEastAsia"/>
          <w:b/>
          <w:sz w:val="32"/>
          <w:szCs w:val="32"/>
        </w:rPr>
        <w:instrText xml:space="preserve"> TOC \o "1-3" \h \z \u </w:instrText>
      </w:r>
      <w:r>
        <w:rPr>
          <w:rFonts w:hint="eastAsia" w:cs="方正小标宋简体" w:asciiTheme="minorEastAsia" w:hAnsiTheme="minorEastAsia" w:eastAsiaTheme="minorEastAsia"/>
          <w:b/>
          <w:sz w:val="32"/>
          <w:szCs w:val="32"/>
        </w:rPr>
        <w:fldChar w:fldCharType="separate"/>
      </w:r>
      <w:r>
        <w:fldChar w:fldCharType="begin"/>
      </w:r>
      <w:r>
        <w:instrText xml:space="preserve"> HYPERLINK \l "_Toc2284" </w:instrText>
      </w:r>
      <w:r>
        <w:fldChar w:fldCharType="separate"/>
      </w:r>
      <w:r>
        <w:rPr>
          <w:rFonts w:ascii="Times New Roman" w:hAnsi="Times New Roman" w:eastAsia="黑体" w:cs="Times New Roman"/>
          <w:sz w:val="24"/>
          <w:szCs w:val="24"/>
        </w:rPr>
        <w:t>一、事故基本情况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_Toc2284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"_Toc28369" </w:instrText>
      </w:r>
      <w:r>
        <w:fldChar w:fldCharType="separate"/>
      </w:r>
      <w:r>
        <w:rPr>
          <w:rFonts w:hint="eastAsia" w:asciiTheme="majorEastAsia" w:hAnsiTheme="majorEastAsia" w:eastAsiaTheme="majorEastAsia" w:cstheme="majorEastAsia"/>
          <w:sz w:val="24"/>
          <w:szCs w:val="24"/>
        </w:rPr>
        <w:t>（一）事故单位及相关单位情况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_Toc28369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"_Toc10760" </w:instrText>
      </w:r>
      <w:r>
        <w:fldChar w:fldCharType="separate"/>
      </w:r>
      <w:r>
        <w:rPr>
          <w:rFonts w:asciiTheme="majorEastAsia" w:hAnsiTheme="majorEastAsia" w:eastAsiaTheme="majorEastAsia" w:cstheme="majorEastAsia"/>
          <w:sz w:val="24"/>
          <w:szCs w:val="24"/>
        </w:rPr>
        <w:t>（二）涉事设备及相关人员情况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_Toc10760 \h </w:instrText>
      </w:r>
      <w:r>
        <w:rPr>
          <w:rFonts w:ascii="Times New Roman" w:hAnsi="Times New Roman" w:cs="Times New Roman"/>
          <w:sz w:val="24"/>
          <w:szCs w:val="24"/>
        </w:rPr>
        <w:fldChar w:fldCharType="separate"/>
      </w:r>
      <w:r>
        <w:rPr>
          <w:rFonts w:ascii="Times New Roman" w:hAnsi="Times New Roman" w:cs="Times New Roman"/>
          <w:sz w:val="24"/>
          <w:szCs w:val="24"/>
        </w:rPr>
        <w:t>3</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rPr>
          <w:rFonts w:ascii="Times New Roman" w:hAnsi="Times New Roman" w:cs="Times New Roman"/>
          <w:sz w:val="24"/>
          <w:szCs w:val="24"/>
        </w:rPr>
      </w:pPr>
      <w:r>
        <w:fldChar w:fldCharType="begin"/>
      </w:r>
      <w:r>
        <w:instrText xml:space="preserve"> HYPERLINK \l "_Toc2844" </w:instrText>
      </w:r>
      <w:r>
        <w:fldChar w:fldCharType="separate"/>
      </w:r>
      <w:r>
        <w:rPr>
          <w:rFonts w:ascii="Times New Roman" w:hAnsi="Times New Roman" w:eastAsia="黑体" w:cs="Times New Roman"/>
          <w:sz w:val="24"/>
          <w:szCs w:val="24"/>
        </w:rPr>
        <w:t>二、事故发生过程、应急处置及善后赔偿情况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_Toc2844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"_Toc25445" </w:instrText>
      </w:r>
      <w:r>
        <w:fldChar w:fldCharType="separate"/>
      </w:r>
      <w:r>
        <w:rPr>
          <w:rFonts w:asciiTheme="majorEastAsia" w:hAnsiTheme="majorEastAsia" w:eastAsiaTheme="majorEastAsia" w:cstheme="majorEastAsia"/>
          <w:sz w:val="24"/>
          <w:szCs w:val="24"/>
        </w:rPr>
        <w:t>（一）事故发生过程</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_Toc25445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"_Toc3308" </w:instrText>
      </w:r>
      <w:r>
        <w:fldChar w:fldCharType="separate"/>
      </w:r>
      <w:r>
        <w:rPr>
          <w:rFonts w:asciiTheme="majorEastAsia" w:hAnsiTheme="majorEastAsia" w:eastAsiaTheme="majorEastAsia" w:cstheme="majorEastAsia"/>
          <w:sz w:val="24"/>
          <w:szCs w:val="24"/>
        </w:rPr>
        <w:t>（二）应急处置情况</w:t>
      </w:r>
      <w:r>
        <w:rPr>
          <w:rFonts w:ascii="Times New Roman" w:hAnsi="Times New Roman" w:cs="Times New Roman"/>
          <w:sz w:val="24"/>
          <w:szCs w:val="24"/>
        </w:rPr>
        <w:tab/>
      </w:r>
      <w:r>
        <w:rPr>
          <w:rFonts w:hint="eastAsia" w:ascii="Times New Roman" w:hAnsi="Times New Roman" w:cs="Times New Roman"/>
          <w:sz w:val="24"/>
          <w:szCs w:val="24"/>
        </w:rPr>
        <w:t>5</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"_Toc19040" </w:instrText>
      </w:r>
      <w:r>
        <w:fldChar w:fldCharType="separate"/>
      </w:r>
      <w:r>
        <w:rPr>
          <w:rFonts w:asciiTheme="majorEastAsia" w:hAnsiTheme="majorEastAsia" w:eastAsiaTheme="majorEastAsia" w:cstheme="majorEastAsia"/>
          <w:sz w:val="24"/>
          <w:szCs w:val="24"/>
        </w:rPr>
        <w:t>（三）善后赔偿情况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_Toc19040 \h </w:instrText>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rPr>
          <w:rFonts w:ascii="Times New Roman" w:hAnsi="Times New Roman" w:cs="Times New Roman"/>
          <w:sz w:val="24"/>
          <w:szCs w:val="24"/>
        </w:rPr>
      </w:pPr>
      <w:r>
        <w:fldChar w:fldCharType="begin"/>
      </w:r>
      <w:r>
        <w:instrText xml:space="preserve"> HYPERLINK \l "_Toc12379" </w:instrText>
      </w:r>
      <w:r>
        <w:fldChar w:fldCharType="separate"/>
      </w:r>
      <w:r>
        <w:rPr>
          <w:rFonts w:ascii="Times New Roman" w:hAnsi="Times New Roman" w:eastAsia="黑体" w:cs="Times New Roman"/>
          <w:sz w:val="24"/>
          <w:szCs w:val="24"/>
        </w:rPr>
        <w:t>三、人员伤亡及直接经济损失</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_Toc12379 \h </w:instrText>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"_Toc32277" </w:instrText>
      </w:r>
      <w:r>
        <w:fldChar w:fldCharType="separate"/>
      </w:r>
      <w:r>
        <w:rPr>
          <w:rFonts w:asciiTheme="majorEastAsia" w:hAnsiTheme="majorEastAsia" w:eastAsiaTheme="majorEastAsia" w:cstheme="majorEastAsia"/>
          <w:sz w:val="24"/>
          <w:szCs w:val="24"/>
        </w:rPr>
        <w:t>（一）人员伤亡情况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_Toc32277 \h </w:instrText>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"_Toc17878" </w:instrText>
      </w:r>
      <w:r>
        <w:fldChar w:fldCharType="separate"/>
      </w:r>
      <w:r>
        <w:rPr>
          <w:rFonts w:asciiTheme="majorEastAsia" w:hAnsiTheme="majorEastAsia" w:eastAsiaTheme="majorEastAsia" w:cstheme="majorEastAsia"/>
          <w:sz w:val="24"/>
          <w:szCs w:val="24"/>
        </w:rPr>
        <w:t>（二）直接经济损失</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_Toc17878 \h </w:instrText>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rPr>
          <w:rFonts w:ascii="Times New Roman" w:hAnsi="Times New Roman" w:cs="Times New Roman"/>
          <w:sz w:val="24"/>
          <w:szCs w:val="24"/>
        </w:rPr>
      </w:pPr>
      <w:r>
        <w:fldChar w:fldCharType="begin"/>
      </w:r>
      <w:r>
        <w:instrText xml:space="preserve"> HYPERLINK \l "_Toc3065" </w:instrText>
      </w:r>
      <w:r>
        <w:fldChar w:fldCharType="separate"/>
      </w:r>
      <w:r>
        <w:rPr>
          <w:rFonts w:ascii="Times New Roman" w:hAnsi="Times New Roman" w:eastAsia="黑体" w:cs="Times New Roman"/>
          <w:sz w:val="24"/>
          <w:szCs w:val="24"/>
        </w:rPr>
        <w:t>四、事故原因及性质</w:t>
      </w:r>
      <w:r>
        <w:rPr>
          <w:rFonts w:ascii="Times New Roman" w:hAnsi="Times New Roman" w:cs="Times New Roman"/>
          <w:sz w:val="24"/>
          <w:szCs w:val="24"/>
        </w:rPr>
        <w:tab/>
      </w:r>
      <w:r>
        <w:rPr>
          <w:rFonts w:hint="eastAsia" w:ascii="Times New Roman" w:hAnsi="Times New Roman" w:cs="Times New Roman"/>
          <w:sz w:val="24"/>
          <w:szCs w:val="24"/>
        </w:rPr>
        <w:t>6</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"_Toc4303" </w:instrText>
      </w:r>
      <w:r>
        <w:fldChar w:fldCharType="separate"/>
      </w:r>
      <w:r>
        <w:rPr>
          <w:rFonts w:asciiTheme="majorEastAsia" w:hAnsiTheme="majorEastAsia" w:eastAsiaTheme="majorEastAsia" w:cstheme="majorEastAsia"/>
          <w:sz w:val="24"/>
          <w:szCs w:val="24"/>
        </w:rPr>
        <w:t>（一）直接原因</w:t>
      </w:r>
      <w:r>
        <w:rPr>
          <w:rFonts w:ascii="Times New Roman" w:hAnsi="Times New Roman" w:cs="Times New Roman"/>
          <w:sz w:val="24"/>
          <w:szCs w:val="24"/>
        </w:rPr>
        <w:tab/>
      </w:r>
      <w:r>
        <w:rPr>
          <w:rFonts w:hint="eastAsia" w:ascii="Times New Roman" w:hAnsi="Times New Roman" w:cs="Times New Roman"/>
          <w:sz w:val="24"/>
          <w:szCs w:val="24"/>
        </w:rPr>
        <w:t>6</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"_Toc11836" </w:instrText>
      </w:r>
      <w:r>
        <w:fldChar w:fldCharType="separate"/>
      </w:r>
      <w:r>
        <w:rPr>
          <w:rFonts w:asciiTheme="majorEastAsia" w:hAnsiTheme="majorEastAsia" w:eastAsiaTheme="majorEastAsia" w:cstheme="majorEastAsia"/>
          <w:sz w:val="24"/>
          <w:szCs w:val="24"/>
        </w:rPr>
        <w:t>（二）间接原因</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_Toc11836 \h </w:instrText>
      </w:r>
      <w:r>
        <w:rPr>
          <w:rFonts w:ascii="Times New Roman" w:hAnsi="Times New Roman" w:cs="Times New Roman"/>
          <w:sz w:val="24"/>
          <w:szCs w:val="24"/>
        </w:rPr>
        <w:fldChar w:fldCharType="separate"/>
      </w:r>
      <w:r>
        <w:rPr>
          <w:rFonts w:ascii="Times New Roman" w:hAnsi="Times New Roman" w:cs="Times New Roman"/>
          <w:sz w:val="24"/>
          <w:szCs w:val="24"/>
        </w:rPr>
        <w:t>7</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"_Toc32028" </w:instrText>
      </w:r>
      <w:r>
        <w:fldChar w:fldCharType="separate"/>
      </w:r>
      <w:r>
        <w:rPr>
          <w:rFonts w:asciiTheme="majorEastAsia" w:hAnsiTheme="majorEastAsia" w:eastAsiaTheme="majorEastAsia" w:cstheme="majorEastAsia"/>
          <w:sz w:val="24"/>
          <w:szCs w:val="24"/>
        </w:rPr>
        <w:t>（三）事故性质</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_Toc32028 \h </w:instrText>
      </w:r>
      <w:r>
        <w:rPr>
          <w:rFonts w:ascii="Times New Roman" w:hAnsi="Times New Roman" w:cs="Times New Roman"/>
          <w:sz w:val="24"/>
          <w:szCs w:val="24"/>
        </w:rPr>
        <w:fldChar w:fldCharType="separate"/>
      </w:r>
      <w:r>
        <w:rPr>
          <w:rFonts w:ascii="Times New Roman" w:hAnsi="Times New Roman" w:cs="Times New Roman"/>
          <w:sz w:val="24"/>
          <w:szCs w:val="24"/>
        </w:rPr>
        <w:t>7</w:t>
      </w:r>
      <w:r>
        <w:rPr>
          <w:rFonts w:ascii="Times New Roman" w:hAnsi="Times New Roman" w:cs="Times New Roman"/>
          <w:sz w:val="24"/>
          <w:szCs w:val="24"/>
        </w:rPr>
        <w:fldChar w:fldCharType="end"/>
      </w:r>
      <w:r>
        <w:rPr>
          <w:rFonts w:ascii="Times New Roman" w:hAnsi="Times New Roman" w:cs="Times New Roman"/>
          <w:sz w:val="24"/>
          <w:szCs w:val="24"/>
        </w:rPr>
        <w:fldChar w:fldCharType="end"/>
      </w:r>
    </w:p>
    <w:p>
      <w:pPr>
        <w:pStyle w:val="12"/>
        <w:tabs>
          <w:tab w:val="right" w:leader="dot" w:pos="8306"/>
        </w:tabs>
        <w:ind w:left="440"/>
        <w:rPr>
          <w:rFonts w:ascii="Times New Roman" w:hAnsi="Times New Roman" w:cs="Times New Roman"/>
          <w:sz w:val="24"/>
          <w:szCs w:val="24"/>
        </w:rPr>
      </w:pPr>
      <w:r>
        <w:fldChar w:fldCharType="begin"/>
      </w:r>
      <w:r>
        <w:instrText xml:space="preserve"> HYPERLINK \l "_Toc23097" </w:instrText>
      </w:r>
      <w:r>
        <w:fldChar w:fldCharType="separate"/>
      </w:r>
      <w:r>
        <w:rPr>
          <w:rFonts w:ascii="Times New Roman" w:hAnsi="Times New Roman" w:eastAsia="黑体" w:cs="Times New Roman"/>
          <w:sz w:val="24"/>
          <w:szCs w:val="24"/>
        </w:rPr>
        <w:t>五、责任认定及处理建议</w:t>
      </w:r>
      <w:r>
        <w:rPr>
          <w:rFonts w:ascii="Times New Roman" w:hAnsi="Times New Roman" w:cs="Times New Roman"/>
          <w:sz w:val="24"/>
          <w:szCs w:val="24"/>
        </w:rPr>
        <w:tab/>
      </w:r>
      <w:r>
        <w:rPr>
          <w:rFonts w:hint="eastAsia" w:ascii="Times New Roman" w:hAnsi="Times New Roman" w:cs="Times New Roman"/>
          <w:sz w:val="24"/>
          <w:szCs w:val="24"/>
        </w:rPr>
        <w:t>8</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"_Toc26648" </w:instrText>
      </w:r>
      <w:r>
        <w:fldChar w:fldCharType="separate"/>
      </w:r>
      <w:r>
        <w:rPr>
          <w:rFonts w:asciiTheme="majorEastAsia" w:hAnsiTheme="majorEastAsia" w:eastAsiaTheme="majorEastAsia" w:cstheme="majorEastAsia"/>
          <w:sz w:val="24"/>
          <w:szCs w:val="24"/>
        </w:rPr>
        <w:t>（一）事故责任单位的责任认定及处理建议</w:t>
      </w:r>
      <w:r>
        <w:rPr>
          <w:rFonts w:ascii="Times New Roman" w:hAnsi="Times New Roman" w:cs="Times New Roman"/>
          <w:sz w:val="24"/>
          <w:szCs w:val="24"/>
        </w:rPr>
        <w:tab/>
      </w:r>
      <w:r>
        <w:rPr>
          <w:rFonts w:hint="eastAsia" w:ascii="Times New Roman" w:hAnsi="Times New Roman" w:cs="Times New Roman"/>
          <w:sz w:val="24"/>
          <w:szCs w:val="24"/>
        </w:rPr>
        <w:t>8</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"_Toc1928" </w:instrText>
      </w:r>
      <w:r>
        <w:fldChar w:fldCharType="separate"/>
      </w:r>
      <w:r>
        <w:rPr>
          <w:rFonts w:asciiTheme="majorEastAsia" w:hAnsiTheme="majorEastAsia" w:eastAsiaTheme="majorEastAsia" w:cstheme="majorEastAsia"/>
          <w:sz w:val="24"/>
          <w:szCs w:val="24"/>
        </w:rPr>
        <w:t>（二）事故责任人员的责任认定及处理建议</w:t>
      </w:r>
      <w:r>
        <w:rPr>
          <w:rFonts w:ascii="Times New Roman" w:hAnsi="Times New Roman" w:cs="Times New Roman"/>
          <w:sz w:val="24"/>
          <w:szCs w:val="24"/>
        </w:rPr>
        <w:tab/>
      </w:r>
      <w:r>
        <w:rPr>
          <w:rFonts w:hint="eastAsia" w:ascii="Times New Roman" w:hAnsi="Times New Roman" w:cs="Times New Roman"/>
          <w:sz w:val="24"/>
          <w:szCs w:val="24"/>
        </w:rPr>
        <w:t>8</w:t>
      </w:r>
      <w:r>
        <w:rPr>
          <w:rFonts w:hint="eastAsia" w:ascii="Times New Roman" w:hAnsi="Times New Roman" w:cs="Times New Roman"/>
          <w:sz w:val="24"/>
          <w:szCs w:val="24"/>
        </w:rPr>
        <w:fldChar w:fldCharType="end"/>
      </w:r>
    </w:p>
    <w:p>
      <w:pPr>
        <w:pStyle w:val="12"/>
        <w:tabs>
          <w:tab w:val="right" w:leader="dot" w:pos="8306"/>
        </w:tabs>
        <w:ind w:left="440"/>
        <w:rPr>
          <w:rFonts w:ascii="Times New Roman" w:hAnsi="Times New Roman" w:cs="Times New Roman"/>
          <w:sz w:val="24"/>
          <w:szCs w:val="24"/>
        </w:rPr>
      </w:pPr>
      <w:r>
        <w:fldChar w:fldCharType="begin"/>
      </w:r>
      <w:r>
        <w:instrText xml:space="preserve"> HYPERLINK \l "_Toc25602" </w:instrText>
      </w:r>
      <w:r>
        <w:fldChar w:fldCharType="separate"/>
      </w:r>
      <w:r>
        <w:rPr>
          <w:rFonts w:ascii="Times New Roman" w:hAnsi="Times New Roman" w:eastAsia="黑体" w:cs="Times New Roman"/>
          <w:sz w:val="24"/>
          <w:szCs w:val="24"/>
        </w:rPr>
        <w:t>六、事故防范和整改措施</w:t>
      </w:r>
      <w:r>
        <w:rPr>
          <w:rFonts w:ascii="Times New Roman" w:hAnsi="Times New Roman" w:cs="Times New Roman"/>
          <w:sz w:val="24"/>
          <w:szCs w:val="24"/>
        </w:rPr>
        <w:tab/>
      </w:r>
      <w:r>
        <w:rPr>
          <w:rFonts w:hint="eastAsia" w:ascii="Times New Roman" w:hAnsi="Times New Roman" w:cs="Times New Roman"/>
          <w:sz w:val="24"/>
          <w:szCs w:val="24"/>
        </w:rPr>
        <w:t>9</w:t>
      </w:r>
      <w:r>
        <w:rPr>
          <w:rFonts w:hint="eastAsia" w:ascii="Times New Roman" w:hAnsi="Times New Roman" w:cs="Times New Roman"/>
          <w:sz w:val="24"/>
          <w:szCs w:val="24"/>
        </w:rPr>
        <w:fldChar w:fldCharType="end"/>
      </w:r>
    </w:p>
    <w:p>
      <w:pPr>
        <w:pStyle w:val="12"/>
        <w:tabs>
          <w:tab w:val="right" w:leader="dot" w:pos="8306"/>
        </w:tabs>
        <w:ind w:left="440" w:firstLine="440" w:firstLineChars="200"/>
        <w:rPr>
          <w:rFonts w:ascii="Times New Roman" w:hAnsi="Times New Roman" w:cs="Times New Roman"/>
          <w:sz w:val="24"/>
          <w:szCs w:val="24"/>
        </w:rPr>
      </w:pPr>
      <w:r>
        <w:fldChar w:fldCharType="begin"/>
      </w:r>
      <w:r>
        <w:instrText xml:space="preserve"> HYPERLINK \l "_Toc7269" </w:instrText>
      </w:r>
      <w:r>
        <w:fldChar w:fldCharType="separate"/>
      </w:r>
      <w:r>
        <w:rPr>
          <w:rFonts w:asciiTheme="majorEastAsia" w:hAnsiTheme="majorEastAsia" w:eastAsiaTheme="majorEastAsia" w:cstheme="majorEastAsia"/>
          <w:sz w:val="24"/>
          <w:szCs w:val="24"/>
        </w:rPr>
        <w:t>（一）睿力群公司</w:t>
      </w:r>
      <w:r>
        <w:rPr>
          <w:rFonts w:ascii="Times New Roman" w:hAnsi="Times New Roman" w:cs="Times New Roman"/>
          <w:sz w:val="24"/>
          <w:szCs w:val="24"/>
        </w:rPr>
        <w:tab/>
      </w:r>
      <w:r>
        <w:rPr>
          <w:rFonts w:hint="eastAsia" w:ascii="Times New Roman" w:hAnsi="Times New Roman" w:cs="Times New Roman"/>
          <w:sz w:val="24"/>
          <w:szCs w:val="24"/>
        </w:rPr>
        <w:t>9</w:t>
      </w:r>
      <w:r>
        <w:rPr>
          <w:rFonts w:hint="eastAsia" w:ascii="Times New Roman" w:hAnsi="Times New Roman" w:cs="Times New Roman"/>
          <w:sz w:val="24"/>
          <w:szCs w:val="24"/>
        </w:rPr>
        <w:fldChar w:fldCharType="end"/>
      </w:r>
    </w:p>
    <w:p>
      <w:pPr>
        <w:pStyle w:val="12"/>
        <w:tabs>
          <w:tab w:val="right" w:leader="dot" w:pos="8306"/>
        </w:tabs>
        <w:ind w:left="440" w:firstLine="440" w:firstLineChars="200"/>
      </w:pPr>
      <w:r>
        <w:fldChar w:fldCharType="begin"/>
      </w:r>
      <w:r>
        <w:instrText xml:space="preserve"> HYPERLINK \l "_Toc20278" </w:instrText>
      </w:r>
      <w:r>
        <w:fldChar w:fldCharType="separate"/>
      </w:r>
      <w:r>
        <w:rPr>
          <w:rFonts w:asciiTheme="majorEastAsia" w:hAnsiTheme="majorEastAsia" w:eastAsiaTheme="majorEastAsia" w:cstheme="majorEastAsia"/>
          <w:sz w:val="24"/>
          <w:szCs w:val="24"/>
        </w:rPr>
        <w:t>（二）天润金属公司</w:t>
      </w:r>
      <w:r>
        <w:rPr>
          <w:rFonts w:ascii="Times New Roman" w:hAnsi="Times New Roman" w:cs="Times New Roman"/>
          <w:sz w:val="24"/>
          <w:szCs w:val="24"/>
        </w:rPr>
        <w:tab/>
      </w:r>
      <w:r>
        <w:rPr>
          <w:rFonts w:hint="eastAsia" w:ascii="Times New Roman" w:hAnsi="Times New Roman" w:cs="Times New Roman"/>
          <w:sz w:val="24"/>
          <w:szCs w:val="24"/>
        </w:rPr>
        <w:t>1</w:t>
      </w:r>
      <w:r>
        <w:rPr>
          <w:rFonts w:hint="eastAsia" w:ascii="Times New Roman" w:hAnsi="Times New Roman" w:cs="Times New Roman"/>
          <w:sz w:val="24"/>
          <w:szCs w:val="24"/>
        </w:rPr>
        <w:fldChar w:fldCharType="end"/>
      </w:r>
      <w:r>
        <w:rPr>
          <w:rFonts w:hint="eastAsia" w:ascii="Times New Roman" w:hAnsi="Times New Roman" w:cs="Times New Roman" w:eastAsiaTheme="minorEastAsia"/>
          <w:sz w:val="24"/>
          <w:szCs w:val="24"/>
        </w:rPr>
        <w:t>0</w:t>
      </w:r>
    </w:p>
    <w:p>
      <w:pPr>
        <w:tabs>
          <w:tab w:val="left" w:pos="3103"/>
        </w:tabs>
        <w:spacing w:line="620" w:lineRule="exact"/>
        <w:rPr>
          <w:rFonts w:cs="方正小标宋简体" w:asciiTheme="minorEastAsia" w:hAnsiTheme="minorEastAsia" w:eastAsiaTheme="minorEastAsia"/>
          <w:b/>
          <w:sz w:val="32"/>
          <w:szCs w:val="32"/>
        </w:rPr>
        <w:sectPr>
          <w:footerReference r:id="rId4" w:type="default"/>
          <w:footnotePr>
            <w:numRestart w:val="eachPage"/>
          </w:footnotePr>
          <w:pgSz w:w="11906" w:h="16838"/>
          <w:pgMar w:top="1440" w:right="1800" w:bottom="1440" w:left="1800" w:header="708" w:footer="708" w:gutter="0"/>
          <w:pgNumType w:start="1"/>
          <w:cols w:space="708" w:num="1"/>
          <w:docGrid w:type="lines" w:linePitch="360" w:charSpace="0"/>
        </w:sectPr>
      </w:pPr>
      <w:r>
        <w:rPr>
          <w:rFonts w:hint="eastAsia" w:cs="方正小标宋简体" w:asciiTheme="minorEastAsia" w:hAnsiTheme="minorEastAsia" w:eastAsiaTheme="minorEastAsia"/>
          <w:szCs w:val="32"/>
        </w:rPr>
        <w:fldChar w:fldCharType="end"/>
      </w:r>
    </w:p>
    <w:bookmarkEnd w:id="6"/>
    <w:p>
      <w:pPr>
        <w:widowControl w:val="0"/>
        <w:spacing w:after="0" w:line="620" w:lineRule="exact"/>
        <w:ind w:firstLine="1320" w:firstLineChars="300"/>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天津市滨海新区“5</w:t>
      </w:r>
      <w:r>
        <w:rPr>
          <w:rFonts w:hint="eastAsia" w:ascii="宋体" w:hAnsi="宋体" w:eastAsia="宋体" w:cs="宋体"/>
          <w:bCs/>
          <w:sz w:val="44"/>
          <w:szCs w:val="44"/>
        </w:rPr>
        <w:t>•</w:t>
      </w:r>
      <w:r>
        <w:rPr>
          <w:rFonts w:hint="eastAsia" w:ascii="方正小标宋简体" w:hAnsi="方正小标宋简体" w:eastAsia="方正小标宋简体" w:cs="方正小标宋简体"/>
          <w:bCs/>
          <w:sz w:val="44"/>
          <w:szCs w:val="44"/>
        </w:rPr>
        <w:t>26”一般叉车</w:t>
      </w:r>
    </w:p>
    <w:p>
      <w:pPr>
        <w:widowControl w:val="0"/>
        <w:spacing w:after="0" w:line="620" w:lineRule="exact"/>
        <w:ind w:firstLine="2200" w:firstLineChars="500"/>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坠落相关事故调查报告</w:t>
      </w:r>
    </w:p>
    <w:p>
      <w:pPr>
        <w:widowControl w:val="0"/>
        <w:spacing w:after="0" w:line="620" w:lineRule="exact"/>
        <w:ind w:firstLine="1760" w:firstLineChars="400"/>
        <w:rPr>
          <w:rFonts w:ascii="方正小标宋简体" w:hAnsi="方正小标宋简体" w:eastAsia="方正小标宋简体" w:cs="方正小标宋简体"/>
          <w:bCs/>
          <w:sz w:val="44"/>
          <w:szCs w:val="44"/>
        </w:rPr>
      </w:pP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2023年5月26日，位于天津市滨海新区小王庄镇徐庄子村北的天津睿力群塑料制品股份有限公司厂房修缮工程承包人张治安雇佣劳务人员韩月勇进行厂房修缮工作。10时10分许，韩月勇站在叉车货叉上登高作业时坠落受伤，后经送医抢救无效于当日死亡。直接经济损失120.12万元。</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根据《中华人民共和国安全生产法》《中华人民共和国特种设备安全法》《中华人民共和国特种设备安全监察条例》《特种设备事故报告和调查处理导则》等</w:t>
      </w:r>
      <w:r>
        <w:rPr>
          <w:rFonts w:hint="eastAsia" w:ascii="仿宋_GB2312" w:hAnsi="仿宋_GB2312" w:eastAsia="仿宋_GB2312" w:cs="仿宋_GB2312"/>
          <w:bCs/>
          <w:sz w:val="32"/>
          <w:szCs w:val="32"/>
        </w:rPr>
        <w:t>有关法律法规、规章规定，经报请滨海新区人民政府批准，成立了由区市场监管局、区应急管理局、区公安局、区总工会等部门</w:t>
      </w:r>
      <w:r>
        <w:rPr>
          <w:rFonts w:hint="eastAsia" w:ascii="仿宋_GB2312" w:hAnsi="仿宋_GB2312" w:eastAsia="仿宋_GB2312" w:cs="仿宋_GB2312"/>
          <w:sz w:val="32"/>
          <w:szCs w:val="32"/>
        </w:rPr>
        <w:t>组成</w:t>
      </w:r>
      <w:r>
        <w:rPr>
          <w:rFonts w:hint="eastAsia" w:ascii="仿宋_GB2312" w:hAnsi="仿宋_GB2312" w:eastAsia="仿宋_GB2312" w:cs="仿宋_GB2312"/>
          <w:bCs/>
          <w:sz w:val="32"/>
          <w:szCs w:val="32"/>
        </w:rPr>
        <w:t>的</w:t>
      </w:r>
      <w:r>
        <w:rPr>
          <w:rFonts w:hint="eastAsia" w:ascii="仿宋_GB2312" w:hAnsi="仿宋_GB2312" w:eastAsia="仿宋_GB2312" w:cs="仿宋_GB2312"/>
          <w:sz w:val="32"/>
          <w:szCs w:val="32"/>
        </w:rPr>
        <w:t>天津市滨海新区“5</w:t>
      </w:r>
      <w:r>
        <w:rPr>
          <w:rFonts w:hint="eastAsia" w:ascii="宋体" w:hAnsi="宋体" w:eastAsia="宋体" w:cs="宋体"/>
          <w:sz w:val="32"/>
          <w:szCs w:val="32"/>
        </w:rPr>
        <w:t>•</w:t>
      </w:r>
      <w:r>
        <w:rPr>
          <w:rFonts w:hint="eastAsia" w:ascii="仿宋_GB2312" w:hAnsi="仿宋_GB2312" w:eastAsia="仿宋_GB2312" w:cs="仿宋_GB2312"/>
          <w:sz w:val="32"/>
          <w:szCs w:val="32"/>
        </w:rPr>
        <w:t>26”一般叉车坠落相关事故</w:t>
      </w:r>
      <w:r>
        <w:rPr>
          <w:rFonts w:hint="eastAsia" w:ascii="仿宋_GB2312" w:hAnsi="仿宋_GB2312" w:eastAsia="仿宋_GB2312" w:cs="仿宋_GB2312"/>
          <w:bCs/>
          <w:sz w:val="32"/>
          <w:szCs w:val="32"/>
        </w:rPr>
        <w:t>调查组（以下简称“事故调查组”），组织开展事故调查工作。</w:t>
      </w:r>
    </w:p>
    <w:p>
      <w:pPr>
        <w:widowControl w:val="0"/>
        <w:tabs>
          <w:tab w:val="left" w:pos="360"/>
        </w:tabs>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事故调查组按照“四不放过”和“科学严谨、依法依规、实事求是、注重实效”的原则，通过现场勘验、调查取证、综合分析，查明了事故发生的经过和原因，认定了事故的性质和责任，提出了对事故单位和责任人员的处理意见和建议，并</w:t>
      </w:r>
      <w:r>
        <w:rPr>
          <w:rFonts w:hint="eastAsia" w:ascii="仿宋_GB2312" w:hAnsi="仿宋_GB2312" w:eastAsia="仿宋_GB2312" w:cs="仿宋_GB2312"/>
          <w:bCs/>
          <w:sz w:val="32"/>
          <w:szCs w:val="32"/>
          <w:lang w:val="zh-CN"/>
        </w:rPr>
        <w:t>针对事故原因及暴露出的突出问题，提出了</w:t>
      </w:r>
      <w:r>
        <w:rPr>
          <w:rFonts w:hint="eastAsia" w:ascii="仿宋_GB2312" w:hAnsi="仿宋_GB2312" w:eastAsia="仿宋_GB2312" w:cs="仿宋_GB2312"/>
          <w:bCs/>
          <w:sz w:val="32"/>
          <w:szCs w:val="32"/>
        </w:rPr>
        <w:t>事故防范措施及建议。现将有关情况报告如下：</w:t>
      </w:r>
    </w:p>
    <w:p>
      <w:pPr>
        <w:pStyle w:val="4"/>
        <w:spacing w:before="0" w:after="0" w:line="560" w:lineRule="exact"/>
        <w:ind w:firstLine="640" w:firstLineChars="200"/>
        <w:rPr>
          <w:rFonts w:ascii="黑体" w:hAnsi="黑体" w:eastAsia="黑体"/>
          <w:b w:val="0"/>
          <w:bCs w:val="0"/>
        </w:rPr>
      </w:pPr>
      <w:bookmarkStart w:id="7" w:name="_Toc16110_WPSOffice_Level1"/>
      <w:bookmarkStart w:id="8" w:name="_Toc1223_WPSOffice_Level1"/>
      <w:bookmarkStart w:id="9" w:name="_Toc2284"/>
      <w:bookmarkStart w:id="10" w:name="_Toc141372573"/>
      <w:r>
        <w:rPr>
          <w:rFonts w:hint="eastAsia" w:ascii="黑体" w:hAnsi="黑体" w:eastAsia="黑体"/>
          <w:b w:val="0"/>
          <w:bCs w:val="0"/>
        </w:rPr>
        <w:t>一、事故基本情况</w:t>
      </w:r>
      <w:bookmarkEnd w:id="7"/>
      <w:bookmarkEnd w:id="8"/>
      <w:bookmarkEnd w:id="9"/>
      <w:bookmarkEnd w:id="10"/>
      <w:bookmarkStart w:id="11" w:name="_Toc1223_WPSOffice_Level2"/>
    </w:p>
    <w:p>
      <w:pPr>
        <w:widowControl w:val="0"/>
        <w:spacing w:after="0" w:line="560" w:lineRule="exact"/>
        <w:ind w:firstLine="640" w:firstLineChars="200"/>
        <w:outlineLvl w:val="1"/>
        <w:rPr>
          <w:rFonts w:ascii="楷体_GB2312" w:hAnsi="楷体_GB2312" w:eastAsia="楷体_GB2312" w:cs="楷体_GB2312"/>
          <w:b/>
          <w:bCs/>
          <w:sz w:val="32"/>
          <w:szCs w:val="32"/>
        </w:rPr>
      </w:pPr>
      <w:bookmarkStart w:id="12" w:name="_Toc28369"/>
      <w:r>
        <w:rPr>
          <w:rFonts w:hint="eastAsia" w:ascii="楷体_GB2312" w:hAnsi="楷体_GB2312" w:eastAsia="楷体_GB2312" w:cs="楷体_GB2312"/>
          <w:sz w:val="32"/>
          <w:szCs w:val="32"/>
        </w:rPr>
        <w:t>（一）事故单位及相关单位情况</w:t>
      </w:r>
      <w:bookmarkEnd w:id="11"/>
      <w:bookmarkEnd w:id="12"/>
    </w:p>
    <w:p>
      <w:pPr>
        <w:widowControl w:val="0"/>
        <w:spacing w:after="0" w:line="560" w:lineRule="exact"/>
        <w:ind w:firstLine="643" w:firstLineChars="200"/>
        <w:jc w:val="both"/>
        <w:rPr>
          <w:rFonts w:ascii="仿宋_GB2312" w:hAnsi="仿宋_GB2312" w:eastAsia="仿宋_GB2312" w:cs="仿宋_GB2312"/>
          <w:b/>
          <w:sz w:val="32"/>
          <w:szCs w:val="32"/>
        </w:rPr>
      </w:pPr>
      <w:r>
        <w:rPr>
          <w:rFonts w:hint="eastAsia" w:ascii="仿宋_GB2312" w:hAnsi="仿宋_GB2312" w:eastAsia="仿宋_GB2312" w:cs="仿宋_GB2312"/>
          <w:b/>
          <w:sz w:val="32"/>
          <w:szCs w:val="32"/>
        </w:rPr>
        <w:t>1.天津睿力群塑料制品股份有限公司（以下简称“睿力群公司”）</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bCs/>
          <w:sz w:val="32"/>
          <w:szCs w:val="32"/>
        </w:rPr>
        <w:t>睿力群公司成立于2009年6月10日，为股份有限公司。统一社会信用代</w:t>
      </w:r>
      <w:r>
        <w:rPr>
          <w:rFonts w:hint="eastAsia" w:ascii="仿宋_GB2312" w:hAnsi="仿宋_GB2312" w:eastAsia="仿宋_GB2312" w:cs="仿宋_GB2312"/>
          <w:sz w:val="32"/>
          <w:szCs w:val="32"/>
        </w:rPr>
        <w:t>码：911201116877463695；法定代表人：郭淑菊；</w:t>
      </w:r>
      <w:r>
        <w:rPr>
          <w:rFonts w:hint="eastAsia" w:ascii="仿宋_GB2312" w:hAnsi="仿宋_GB2312" w:eastAsia="仿宋_GB2312" w:cs="仿宋_GB2312"/>
          <w:kern w:val="2"/>
          <w:sz w:val="32"/>
          <w:szCs w:val="32"/>
          <w:shd w:val="clear" w:color="auto" w:fill="FFFFFF"/>
        </w:rPr>
        <w:t>注册资本：500万元</w:t>
      </w:r>
      <w:r>
        <w:rPr>
          <w:rFonts w:hint="eastAsia" w:ascii="仿宋_GB2312" w:hAnsi="仿宋_GB2312" w:eastAsia="仿宋_GB2312" w:cs="仿宋_GB2312"/>
          <w:sz w:val="32"/>
          <w:szCs w:val="32"/>
        </w:rPr>
        <w:t>；注册地址：天津市西青区王稳庄镇盛达一支路29号二号厂房</w:t>
      </w:r>
      <w:bookmarkStart w:id="13" w:name="_Toc20528_WPSOffice_Level2"/>
      <w:r>
        <w:rPr>
          <w:rFonts w:hint="eastAsia" w:ascii="仿宋_GB2312" w:hAnsi="仿宋_GB2312" w:eastAsia="仿宋_GB2312" w:cs="仿宋_GB2312"/>
          <w:sz w:val="32"/>
          <w:szCs w:val="32"/>
        </w:rPr>
        <w:t>；经营范围：一般项目：塑料制品制造，橡胶制品制造，五金产品制造，塑料包装箱及容器制造，包装材料及制品销售，塑料制品销售等，产业用纺织制成品销售，产业用纺织制成品制造，面料纺织加工；许可项目：货物进出口。</w:t>
      </w:r>
    </w:p>
    <w:p>
      <w:pPr>
        <w:widowControl w:val="0"/>
        <w:spacing w:after="0" w:line="56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2.天津市天润金属制品制造有限公司（以下简称“天润金属公司”）</w:t>
      </w:r>
    </w:p>
    <w:p>
      <w:pPr>
        <w:widowControl w:val="0"/>
        <w:spacing w:after="0"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天润金属公司成立于2002年10月28日，为有限责任公司。统一社会信用代码：91120116744004071M；法定代表人：张振兵；</w:t>
      </w:r>
      <w:r>
        <w:rPr>
          <w:rFonts w:hint="eastAsia" w:ascii="仿宋_GB2312" w:hAnsi="仿宋_GB2312" w:eastAsia="仿宋_GB2312" w:cs="仿宋_GB2312"/>
          <w:kern w:val="2"/>
          <w:sz w:val="32"/>
          <w:szCs w:val="32"/>
          <w:shd w:val="clear" w:color="auto" w:fill="FFFFFF"/>
        </w:rPr>
        <w:t>注册资本：350万元</w:t>
      </w:r>
      <w:r>
        <w:rPr>
          <w:rFonts w:hint="eastAsia" w:ascii="仿宋_GB2312" w:hAnsi="仿宋_GB2312" w:eastAsia="仿宋_GB2312" w:cs="仿宋_GB2312"/>
          <w:sz w:val="32"/>
          <w:szCs w:val="32"/>
        </w:rPr>
        <w:t>；注册地址：天津市滨海新区大港小王庄镇徐庄子村北；经营范围：铁制围栏及配件制造、加工，塑料零件销售，普通货运。</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2023年4月，睿力群公司从天津市西青区王稳庄镇搬迁至天润金属公司院内，口头约定租赁天润金属公司部分厂房作为其新厂以供生产活动使用，事发时睿力群公司正在进行厂房修缮、设备安装调试，未投产，营业执照尚未从原住所完成变更。</w:t>
      </w:r>
    </w:p>
    <w:p>
      <w:pPr>
        <w:widowControl w:val="0"/>
        <w:spacing w:after="0" w:line="560" w:lineRule="exact"/>
        <w:ind w:firstLine="640" w:firstLineChars="200"/>
        <w:outlineLvl w:val="1"/>
        <w:rPr>
          <w:rFonts w:ascii="楷体_GB2312" w:hAnsi="楷体_GB2312" w:eastAsia="楷体_GB2312" w:cs="楷体_GB2312"/>
          <w:sz w:val="32"/>
          <w:szCs w:val="32"/>
        </w:rPr>
      </w:pPr>
      <w:bookmarkStart w:id="14" w:name="_Toc10760"/>
      <w:r>
        <w:rPr>
          <w:rFonts w:hint="eastAsia" w:ascii="楷体_GB2312" w:hAnsi="楷体_GB2312" w:eastAsia="楷体_GB2312" w:cs="楷体_GB2312"/>
          <w:sz w:val="32"/>
          <w:szCs w:val="32"/>
        </w:rPr>
        <w:t>（二）涉事设备及相关人员情况</w:t>
      </w:r>
      <w:bookmarkEnd w:id="13"/>
      <w:bookmarkEnd w:id="14"/>
    </w:p>
    <w:p>
      <w:pPr>
        <w:widowControl w:val="0"/>
        <w:spacing w:after="0" w:line="56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1.涉事设备情况</w:t>
      </w:r>
    </w:p>
    <w:p>
      <w:pPr>
        <w:widowControl w:val="0"/>
        <w:tabs>
          <w:tab w:val="left" w:pos="0"/>
          <w:tab w:val="left" w:pos="1860"/>
        </w:tabs>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涉事设备种类：场（厂）内专用机动车辆；设备名称：内燃平衡重式叉车(以下简称“叉车”)；出厂编号：3339137；型号：CPC30E；制造单位：北京现代京城工程机械有限公司；产权单位：</w:t>
      </w:r>
      <w:r>
        <w:rPr>
          <w:rFonts w:hint="eastAsia" w:ascii="仿宋_GB2312" w:hAnsi="仿宋_GB2312" w:eastAsia="仿宋_GB2312" w:cs="仿宋_GB2312"/>
          <w:bCs/>
          <w:sz w:val="32"/>
          <w:szCs w:val="32"/>
          <w:lang w:val="zh-CN"/>
        </w:rPr>
        <w:t>睿力群公司</w:t>
      </w:r>
      <w:r>
        <w:rPr>
          <w:rFonts w:hint="eastAsia" w:ascii="仿宋_GB2312" w:hAnsi="仿宋_GB2312" w:eastAsia="仿宋_GB2312" w:cs="仿宋_GB2312"/>
          <w:bCs/>
          <w:sz w:val="32"/>
          <w:szCs w:val="32"/>
        </w:rPr>
        <w:t>。该叉车未经法定检验、未办理使用登记。经调查，该叉车系因排放不符合相关要求，不满足使用条件。睿力群公司将该叉车从住所地搬运至</w:t>
      </w:r>
      <w:r>
        <w:rPr>
          <w:rFonts w:hint="eastAsia" w:ascii="仿宋_GB2312" w:hAnsi="仿宋_GB2312" w:eastAsia="仿宋_GB2312" w:cs="仿宋_GB2312"/>
          <w:sz w:val="32"/>
          <w:szCs w:val="32"/>
        </w:rPr>
        <w:t>滨海新区大港小王庄镇徐庄子村北的租赁厂房</w:t>
      </w:r>
      <w:r>
        <w:rPr>
          <w:rFonts w:hint="eastAsia" w:ascii="仿宋_GB2312" w:hAnsi="仿宋_GB2312" w:eastAsia="仿宋_GB2312" w:cs="仿宋_GB2312"/>
          <w:bCs/>
          <w:sz w:val="32"/>
          <w:szCs w:val="32"/>
        </w:rPr>
        <w:t>，闲置于厂房内未使用，拟做报废处置。</w:t>
      </w:r>
    </w:p>
    <w:p>
      <w:pPr>
        <w:widowControl w:val="0"/>
        <w:tabs>
          <w:tab w:val="left" w:pos="0"/>
          <w:tab w:val="left" w:pos="1860"/>
        </w:tabs>
        <w:spacing w:after="0" w:line="560" w:lineRule="exact"/>
        <w:ind w:firstLine="643" w:firstLineChars="200"/>
        <w:jc w:val="both"/>
        <w:rPr>
          <w:rFonts w:ascii="仿宋_GB2312" w:hAnsi="仿宋_GB2312" w:eastAsia="仿宋_GB2312" w:cs="仿宋_GB2312"/>
          <w:b/>
          <w:sz w:val="32"/>
          <w:szCs w:val="32"/>
        </w:rPr>
      </w:pPr>
      <w:r>
        <w:rPr>
          <w:rFonts w:hint="eastAsia" w:ascii="仿宋_GB2312" w:hAnsi="仿宋_GB2312" w:eastAsia="仿宋_GB2312" w:cs="仿宋_GB2312"/>
          <w:b/>
          <w:sz w:val="32"/>
          <w:szCs w:val="32"/>
        </w:rPr>
        <w:t>2.设备鉴定情况</w:t>
      </w:r>
    </w:p>
    <w:p>
      <w:pPr>
        <w:widowControl w:val="0"/>
        <w:tabs>
          <w:tab w:val="left" w:pos="0"/>
          <w:tab w:val="left" w:pos="1860"/>
        </w:tabs>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事故发生后，事故调查组委托天津市特种设备监督检验研究院对涉事叉车性能及安全状况进行了鉴定，出具了《平衡重式叉车安全性能鉴定报告》（编号：津特检2023-5963号），报告结论为：“该叉车的车身防护罩壳和驻车制动手操纵装置部分缺失；未在醒目的位置设置扣紧安全带的图形或文字；未配备在传动装置处于结合状态时能防止发动机启动的装置；右侧倾斜油缸泄漏；前转向灯缺失，制动灯失效；货叉防止意外侧向滑移和脱落装置缺失；倒车蜂鸣器失效；喇叭失效；安全带缺失；驻车制动性能不可靠。此设备不符合《场（厂）内专用机动车辆安全技术规程》的要求，结论判定为不合格，建议停止使用”。</w:t>
      </w:r>
    </w:p>
    <w:p>
      <w:pPr>
        <w:widowControl w:val="0"/>
        <w:tabs>
          <w:tab w:val="left" w:pos="0"/>
          <w:tab w:val="left" w:pos="1860"/>
        </w:tabs>
        <w:spacing w:after="0" w:line="560" w:lineRule="exact"/>
        <w:ind w:firstLine="643" w:firstLineChars="200"/>
        <w:jc w:val="both"/>
        <w:rPr>
          <w:rFonts w:ascii="仿宋_GB2312" w:hAnsi="仿宋_GB2312" w:eastAsia="仿宋_GB2312" w:cs="仿宋_GB2312"/>
          <w:b/>
          <w:sz w:val="32"/>
          <w:szCs w:val="32"/>
        </w:rPr>
      </w:pPr>
      <w:r>
        <w:rPr>
          <w:rFonts w:hint="eastAsia" w:ascii="仿宋_GB2312" w:hAnsi="仿宋_GB2312" w:eastAsia="仿宋_GB2312" w:cs="仿宋_GB2312"/>
          <w:b/>
          <w:sz w:val="32"/>
          <w:szCs w:val="32"/>
        </w:rPr>
        <w:t>3.涉事相关人员情况</w:t>
      </w:r>
    </w:p>
    <w:p>
      <w:pPr>
        <w:widowControl w:val="0"/>
        <w:tabs>
          <w:tab w:val="left" w:pos="0"/>
          <w:tab w:val="left" w:pos="1860"/>
        </w:tabs>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bCs/>
          <w:sz w:val="32"/>
          <w:szCs w:val="32"/>
        </w:rPr>
        <w:t>（1）李之岩，</w:t>
      </w:r>
      <w:r>
        <w:rPr>
          <w:rFonts w:hint="eastAsia" w:ascii="仿宋_GB2312" w:hAnsi="仿宋_GB2312" w:eastAsia="仿宋_GB2312" w:cs="仿宋_GB2312"/>
          <w:sz w:val="32"/>
          <w:szCs w:val="32"/>
        </w:rPr>
        <w:t>男，1971年11月15日出生，天津市西青区人，身份证号为12011119711115</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，睿力群公司实际控制人，系睿力群公司法定代表人郭淑菊配偶，全面负责公司安全生产工作。</w:t>
      </w:r>
    </w:p>
    <w:p>
      <w:pPr>
        <w:widowControl w:val="0"/>
        <w:numPr>
          <w:ilvl w:val="255"/>
          <w:numId w:val="0"/>
        </w:numPr>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（2）张治安，男，1981年12月2日出生，河北省黄骅市人，身份证号为13293019811202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，个体经营。事发时，系睿力群公司租赁厂房修缮工程承包人。</w:t>
      </w:r>
    </w:p>
    <w:p>
      <w:pPr>
        <w:widowControl w:val="0"/>
        <w:spacing w:after="0"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（3）韩月勇（死者），男，1988年3月18日出生，河北省武安市人，身份证号为13048119880318</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Cs/>
          <w:sz w:val="32"/>
          <w:szCs w:val="32"/>
        </w:rPr>
        <w:t>，系张治安临时雇佣劳务人员。</w:t>
      </w:r>
    </w:p>
    <w:p>
      <w:pPr>
        <w:widowControl w:val="0"/>
        <w:numPr>
          <w:ilvl w:val="255"/>
          <w:numId w:val="0"/>
        </w:numPr>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（4）靖树华，男，1973年7月21日出生，河北省海兴县人，身份证号为13293419730721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w:t>
      </w:r>
      <w:bookmarkStart w:id="15" w:name="_Toc703_WPSOffice_Level1"/>
      <w:bookmarkStart w:id="16" w:name="_Toc32500_WPSOffice_Level1"/>
      <w:r>
        <w:rPr>
          <w:rFonts w:hint="eastAsia" w:ascii="仿宋_GB2312" w:hAnsi="仿宋_GB2312" w:eastAsia="仿宋_GB2312" w:cs="仿宋_GB2312"/>
          <w:sz w:val="32"/>
          <w:szCs w:val="32"/>
        </w:rPr>
        <w:t>系张治安临时雇佣劳务人员，无特种设备作业人员（叉车司机）证及叉车驾驶相关技能证。</w:t>
      </w:r>
    </w:p>
    <w:p>
      <w:pPr>
        <w:pStyle w:val="4"/>
        <w:spacing w:before="0" w:after="0" w:line="560" w:lineRule="exact"/>
        <w:ind w:firstLine="640" w:firstLineChars="200"/>
        <w:rPr>
          <w:rFonts w:ascii="黑体" w:hAnsi="黑体" w:eastAsia="黑体"/>
          <w:b w:val="0"/>
          <w:bCs w:val="0"/>
        </w:rPr>
      </w:pPr>
      <w:bookmarkStart w:id="17" w:name="_Toc141372574"/>
      <w:bookmarkStart w:id="18" w:name="_Toc2844"/>
      <w:r>
        <w:rPr>
          <w:rFonts w:hint="eastAsia" w:ascii="黑体" w:hAnsi="黑体" w:eastAsia="黑体"/>
          <w:b w:val="0"/>
          <w:bCs w:val="0"/>
        </w:rPr>
        <w:t>二、事故发生过程、应急</w:t>
      </w:r>
      <w:bookmarkEnd w:id="15"/>
      <w:bookmarkEnd w:id="16"/>
      <w:r>
        <w:rPr>
          <w:rFonts w:hint="eastAsia" w:ascii="黑体" w:hAnsi="黑体" w:eastAsia="黑体"/>
          <w:b w:val="0"/>
          <w:bCs w:val="0"/>
        </w:rPr>
        <w:t>处置及善后赔偿情况</w:t>
      </w:r>
      <w:bookmarkEnd w:id="17"/>
      <w:bookmarkEnd w:id="18"/>
    </w:p>
    <w:p>
      <w:pPr>
        <w:widowControl w:val="0"/>
        <w:spacing w:after="0" w:line="560" w:lineRule="exact"/>
        <w:ind w:firstLine="640" w:firstLineChars="200"/>
        <w:outlineLvl w:val="1"/>
        <w:rPr>
          <w:rFonts w:ascii="楷体_GB2312" w:hAnsi="楷体_GB2312" w:eastAsia="楷体_GB2312" w:cs="楷体_GB2312"/>
          <w:sz w:val="32"/>
          <w:szCs w:val="32"/>
        </w:rPr>
      </w:pPr>
      <w:bookmarkStart w:id="19" w:name="_Toc23747_WPSOffice_Level2"/>
      <w:bookmarkStart w:id="20" w:name="_Toc25445"/>
      <w:r>
        <w:rPr>
          <w:rFonts w:hint="eastAsia" w:ascii="楷体_GB2312" w:hAnsi="楷体_GB2312" w:eastAsia="楷体_GB2312" w:cs="楷体_GB2312"/>
          <w:sz w:val="32"/>
          <w:szCs w:val="32"/>
        </w:rPr>
        <w:t>（一）事故发生过程</w:t>
      </w:r>
      <w:bookmarkEnd w:id="19"/>
      <w:bookmarkEnd w:id="20"/>
    </w:p>
    <w:p>
      <w:pPr>
        <w:widowControl w:val="0"/>
        <w:spacing w:after="0" w:line="560" w:lineRule="exact"/>
        <w:ind w:firstLine="640" w:firstLineChars="200"/>
        <w:jc w:val="both"/>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rPr>
        <w:t>事发现场无监控设备及直接目击证人，经事故调查组</w:t>
      </w:r>
      <w:r>
        <w:rPr>
          <w:rFonts w:hint="eastAsia" w:ascii="仿宋_GB2312" w:hAnsi="仿宋_GB2312" w:eastAsia="仿宋_GB2312" w:cs="仿宋_GB2312"/>
          <w:bCs/>
          <w:sz w:val="32"/>
          <w:szCs w:val="32"/>
          <w:lang w:val="zh-CN"/>
        </w:rPr>
        <w:t>现场勘验、调查取证，并结合天津市特种设备监督检验研究院出具的鉴定分析报告结论，查明以下事故经过：</w:t>
      </w:r>
    </w:p>
    <w:p>
      <w:pPr>
        <w:widowControl w:val="0"/>
        <w:spacing w:after="0" w:line="560" w:lineRule="exact"/>
        <w:ind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202</w:t>
      </w:r>
      <w:r>
        <w:rPr>
          <w:rFonts w:hint="eastAsia" w:ascii="仿宋_GB2312" w:hAnsi="仿宋_GB2312" w:eastAsia="仿宋_GB2312" w:cs="仿宋_GB2312"/>
          <w:sz w:val="32"/>
          <w:szCs w:val="32"/>
        </w:rPr>
        <w:t>3</w:t>
      </w:r>
      <w:r>
        <w:rPr>
          <w:rFonts w:ascii="仿宋_GB2312" w:hAnsi="仿宋_GB2312" w:eastAsia="仿宋_GB2312" w:cs="仿宋_GB2312"/>
          <w:sz w:val="32"/>
          <w:szCs w:val="32"/>
        </w:rPr>
        <w:t>年</w:t>
      </w:r>
      <w:r>
        <w:rPr>
          <w:rFonts w:hint="eastAsia" w:ascii="仿宋_GB2312" w:hAnsi="仿宋_GB2312" w:eastAsia="仿宋_GB2312" w:cs="仿宋_GB2312"/>
          <w:sz w:val="32"/>
          <w:szCs w:val="32"/>
        </w:rPr>
        <w:t>5</w:t>
      </w:r>
      <w:r>
        <w:rPr>
          <w:rFonts w:ascii="仿宋_GB2312" w:hAnsi="仿宋_GB2312" w:eastAsia="仿宋_GB2312" w:cs="仿宋_GB2312"/>
          <w:sz w:val="32"/>
          <w:szCs w:val="32"/>
        </w:rPr>
        <w:t>月</w:t>
      </w:r>
      <w:r>
        <w:rPr>
          <w:rFonts w:hint="eastAsia" w:ascii="仿宋_GB2312" w:hAnsi="仿宋_GB2312" w:eastAsia="仿宋_GB2312" w:cs="仿宋_GB2312"/>
          <w:sz w:val="32"/>
          <w:szCs w:val="32"/>
        </w:rPr>
        <w:t>26</w:t>
      </w:r>
      <w:r>
        <w:rPr>
          <w:rFonts w:ascii="仿宋_GB2312" w:hAnsi="仿宋_GB2312" w:eastAsia="仿宋_GB2312" w:cs="仿宋_GB2312"/>
          <w:sz w:val="32"/>
          <w:szCs w:val="32"/>
        </w:rPr>
        <w:t>日</w:t>
      </w:r>
      <w:r>
        <w:rPr>
          <w:rFonts w:hint="eastAsia" w:ascii="仿宋_GB2312" w:hAnsi="仿宋_GB2312" w:eastAsia="仿宋_GB2312" w:cs="仿宋_GB2312"/>
          <w:sz w:val="32"/>
          <w:szCs w:val="32"/>
        </w:rPr>
        <w:t>10时左右</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靖树华按照张治安要求焊接修补睿力群租赁厂房小车间（如下图所示）内顶棚的角铁檩条，靖树华未经睿力群公司人员同意私自将</w:t>
      </w:r>
      <w:r>
        <w:rPr>
          <w:rFonts w:ascii="仿宋_GB2312" w:hAnsi="仿宋_GB2312" w:eastAsia="仿宋_GB2312" w:cs="仿宋_GB2312"/>
          <w:sz w:val="32"/>
          <w:szCs w:val="32"/>
        </w:rPr>
        <w:t>涉事叉车</w:t>
      </w:r>
      <w:r>
        <w:rPr>
          <w:rFonts w:hint="eastAsia" w:ascii="仿宋_GB2312" w:hAnsi="仿宋_GB2312" w:eastAsia="仿宋_GB2312" w:cs="仿宋_GB2312"/>
          <w:sz w:val="32"/>
          <w:szCs w:val="32"/>
        </w:rPr>
        <w:t>（叉车钥匙未拔）从大车间开至事发地点，将涉事叉车停放在连接厂房小车间与大车间的斜坡处，将货叉举升至距地面约2米的位置（作为脚手架使用）以便韩月勇登高进行焊接作业，随后熄火下车前往车间外。</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10时10分许，韩月勇在无监护人的情况下攀爬涉事叉车门架至货叉上进行焊接作业，作业期间叉车向后溜车，韩月勇由于重心不稳从货叉上跌落并发出喊叫声。靖树华赶往车间发现韩月勇右侧身体着地且右侧头部出血，随即大声呼喊，车间外的张治安闻讯进入车间，发现靖树华正托着尚有意识的韩月勇身体。</w:t>
      </w:r>
      <w:bookmarkStart w:id="21" w:name="_Toc6706_WPSOffice_Level2"/>
      <w:bookmarkStart w:id="22" w:name="_Toc3308"/>
    </w:p>
    <w:p>
      <w:pPr>
        <w:widowControl w:val="0"/>
        <w:spacing w:after="0" w:line="560" w:lineRule="exact"/>
        <w:ind w:firstLine="640" w:firstLineChars="200"/>
        <w:outlineLvl w:val="1"/>
        <w:rPr>
          <w:rFonts w:ascii="楷体_GB2312" w:hAnsi="楷体_GB2312" w:eastAsia="楷体_GB2312" w:cs="楷体_GB2312"/>
          <w:sz w:val="32"/>
          <w:szCs w:val="32"/>
        </w:rPr>
      </w:pPr>
      <w:r>
        <w:rPr>
          <w:rFonts w:ascii="仿宋_GB2312" w:hAnsi="仿宋_GB2312" w:eastAsia="仿宋_GB2312" w:cs="仿宋_GB2312"/>
          <w:sz w:val="32"/>
          <w:szCs w:val="32"/>
        </w:rPr>
        <w:drawing>
          <wp:anchor distT="0" distB="0" distL="114300" distR="114300" simplePos="0" relativeHeight="251659264" behindDoc="1" locked="0" layoutInCell="1" allowOverlap="1">
            <wp:simplePos x="0" y="0"/>
            <wp:positionH relativeFrom="column">
              <wp:posOffset>546735</wp:posOffset>
            </wp:positionH>
            <wp:positionV relativeFrom="paragraph">
              <wp:posOffset>135255</wp:posOffset>
            </wp:positionV>
            <wp:extent cx="4182110" cy="2481580"/>
            <wp:effectExtent l="0" t="0" r="8890" b="0"/>
            <wp:wrapTight wrapText="bothSides">
              <wp:wrapPolygon>
                <wp:start x="0" y="0"/>
                <wp:lineTo x="0" y="21390"/>
                <wp:lineTo x="21548" y="21390"/>
                <wp:lineTo x="21548" y="0"/>
                <wp:lineTo x="0" y="0"/>
              </wp:wrapPolygon>
            </wp:wrapTight>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4182110" cy="2481580"/>
                    </a:xfrm>
                    <a:prstGeom prst="rect">
                      <a:avLst/>
                    </a:prstGeom>
                    <a:noFill/>
                  </pic:spPr>
                </pic:pic>
              </a:graphicData>
            </a:graphic>
          </wp:anchor>
        </w:drawing>
      </w: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p>
    <w:p>
      <w:pPr>
        <w:widowControl w:val="0"/>
        <w:spacing w:after="0" w:line="560" w:lineRule="exact"/>
        <w:ind w:firstLine="640" w:firstLineChars="200"/>
        <w:outlineLvl w:val="1"/>
        <w:rPr>
          <w:rFonts w:ascii="楷体_GB2312" w:hAnsi="楷体_GB2312" w:eastAsia="楷体_GB2312" w:cs="楷体_GB2312"/>
          <w:sz w:val="32"/>
          <w:szCs w:val="32"/>
        </w:rPr>
      </w:pPr>
      <w:r>
        <w:rPr>
          <w:rFonts w:hint="eastAsia" w:ascii="楷体_GB2312" w:hAnsi="楷体_GB2312" w:eastAsia="楷体_GB2312" w:cs="楷体_GB2312"/>
          <w:sz w:val="32"/>
          <w:szCs w:val="32"/>
        </w:rPr>
        <w:t>（二）应急处置情况</w:t>
      </w:r>
      <w:bookmarkEnd w:id="21"/>
      <w:bookmarkEnd w:id="22"/>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事故发生后，张治安拨打120急救电话，将韩月勇送往黄骅市人民医院抢救；11时50分许，韩月勇经抢救无效死亡。事故发生后，睿力群公司及主要负责人、张治安均未向相关部门报告事故情况。</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5月29日，韩月勇家属报警。5月29日15时许，区市场监管局接区应急管理局通报：“5月26日，天津睿力群塑料制品股份有限公司厂内叉车挤伤1人，伤者送黄骅医院抢救无效死亡”，随后相关部门介入调查。</w:t>
      </w:r>
    </w:p>
    <w:p>
      <w:pPr>
        <w:widowControl w:val="0"/>
        <w:spacing w:after="0" w:line="560" w:lineRule="exact"/>
        <w:ind w:firstLine="640" w:firstLineChars="200"/>
        <w:outlineLvl w:val="1"/>
        <w:rPr>
          <w:rFonts w:ascii="楷体_GB2312" w:hAnsi="楷体_GB2312" w:eastAsia="楷体_GB2312" w:cs="楷体_GB2312"/>
          <w:sz w:val="32"/>
          <w:szCs w:val="32"/>
        </w:rPr>
      </w:pPr>
      <w:bookmarkStart w:id="23" w:name="_Toc19040"/>
      <w:r>
        <w:rPr>
          <w:rFonts w:hint="eastAsia" w:ascii="楷体_GB2312" w:hAnsi="楷体_GB2312" w:eastAsia="楷体_GB2312" w:cs="楷体_GB2312"/>
          <w:sz w:val="32"/>
          <w:szCs w:val="32"/>
        </w:rPr>
        <w:t>（三）善后赔偿情况</w:t>
      </w:r>
      <w:bookmarkEnd w:id="23"/>
    </w:p>
    <w:p>
      <w:pPr>
        <w:widowControl w:val="0"/>
        <w:tabs>
          <w:tab w:val="left" w:pos="360"/>
        </w:tabs>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6月16日，睿力群公司、张治安与死者家属签订了死亡赔偿协议书，睿力群公司、张治安一次性赔偿死者家属120万元人民币，该事故未对社会稳定造成影响。</w:t>
      </w:r>
    </w:p>
    <w:p>
      <w:pPr>
        <w:pStyle w:val="4"/>
        <w:spacing w:before="0" w:after="0" w:line="560" w:lineRule="exact"/>
        <w:ind w:firstLine="640" w:firstLineChars="200"/>
        <w:rPr>
          <w:rFonts w:ascii="黑体" w:hAnsi="黑体" w:eastAsia="黑体"/>
          <w:b w:val="0"/>
          <w:bCs w:val="0"/>
        </w:rPr>
      </w:pPr>
      <w:bookmarkStart w:id="24" w:name="_Toc141372575"/>
      <w:bookmarkStart w:id="25" w:name="_Toc8686_WPSOffice_Level1"/>
      <w:bookmarkStart w:id="26" w:name="_Toc12379"/>
      <w:bookmarkStart w:id="27" w:name="_Toc31332_WPSOffice_Level1"/>
      <w:r>
        <w:rPr>
          <w:rFonts w:hint="eastAsia" w:ascii="黑体" w:hAnsi="黑体" w:eastAsia="黑体"/>
          <w:b w:val="0"/>
          <w:bCs w:val="0"/>
        </w:rPr>
        <w:t>三、人员伤亡及直接经济损失</w:t>
      </w:r>
      <w:bookmarkEnd w:id="24"/>
      <w:bookmarkEnd w:id="25"/>
      <w:bookmarkEnd w:id="26"/>
      <w:bookmarkEnd w:id="27"/>
    </w:p>
    <w:p>
      <w:pPr>
        <w:widowControl w:val="0"/>
        <w:spacing w:after="0" w:line="560" w:lineRule="exact"/>
        <w:ind w:firstLine="640" w:firstLineChars="200"/>
        <w:outlineLvl w:val="1"/>
        <w:rPr>
          <w:rFonts w:ascii="楷体_GB2312" w:hAnsi="楷体_GB2312" w:eastAsia="楷体_GB2312" w:cs="楷体_GB2312"/>
          <w:sz w:val="32"/>
          <w:szCs w:val="32"/>
        </w:rPr>
      </w:pPr>
      <w:bookmarkStart w:id="28" w:name="_Toc31970_WPSOffice_Level2"/>
      <w:bookmarkStart w:id="29" w:name="_Toc32277"/>
      <w:r>
        <w:rPr>
          <w:rFonts w:hint="eastAsia" w:ascii="楷体_GB2312" w:hAnsi="楷体_GB2312" w:eastAsia="楷体_GB2312" w:cs="楷体_GB2312"/>
          <w:sz w:val="32"/>
          <w:szCs w:val="32"/>
        </w:rPr>
        <w:t>（一）人员伤亡情况</w:t>
      </w:r>
      <w:bookmarkEnd w:id="28"/>
      <w:bookmarkEnd w:id="29"/>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事故造成1人死亡。死者：</w:t>
      </w:r>
      <w:bookmarkStart w:id="30" w:name="_Toc30347_WPSOffice_Level2"/>
      <w:r>
        <w:rPr>
          <w:rFonts w:hint="eastAsia" w:ascii="仿宋_GB2312" w:hAnsi="仿宋_GB2312" w:eastAsia="仿宋_GB2312" w:cs="仿宋_GB2312"/>
          <w:bCs/>
          <w:sz w:val="32"/>
          <w:szCs w:val="32"/>
        </w:rPr>
        <w:t>韩月勇，男，1988年3月18日出生，河北省武安市人，身份证号为13048119880318</w:t>
      </w:r>
      <w:r>
        <w:rPr>
          <w:rFonts w:hint="eastAsia" w:ascii="仿宋_GB2312" w:hAnsi="仿宋_GB2312" w:eastAsia="仿宋_GB2312" w:cs="仿宋_GB2312"/>
          <w:sz w:val="32"/>
          <w:szCs w:val="32"/>
          <w:lang w:val="en-US" w:eastAsia="zh-CN"/>
        </w:rPr>
        <w:t>****</w:t>
      </w:r>
      <w:bookmarkStart w:id="58" w:name="_GoBack"/>
      <w:bookmarkEnd w:id="58"/>
      <w:r>
        <w:rPr>
          <w:rFonts w:hint="eastAsia" w:ascii="仿宋_GB2312" w:hAnsi="仿宋_GB2312" w:eastAsia="仿宋_GB2312" w:cs="仿宋_GB2312"/>
          <w:bCs/>
          <w:sz w:val="32"/>
          <w:szCs w:val="32"/>
        </w:rPr>
        <w:t>。</w:t>
      </w:r>
    </w:p>
    <w:p>
      <w:pPr>
        <w:widowControl w:val="0"/>
        <w:spacing w:after="0" w:line="560" w:lineRule="exact"/>
        <w:ind w:firstLine="640" w:firstLineChars="200"/>
        <w:outlineLvl w:val="1"/>
        <w:rPr>
          <w:rFonts w:ascii="楷体_GB2312" w:hAnsi="楷体_GB2312" w:eastAsia="楷体_GB2312" w:cs="楷体_GB2312"/>
          <w:sz w:val="32"/>
          <w:szCs w:val="32"/>
        </w:rPr>
      </w:pPr>
      <w:bookmarkStart w:id="31" w:name="_Toc17878"/>
      <w:r>
        <w:rPr>
          <w:rFonts w:hint="eastAsia" w:ascii="楷体_GB2312" w:hAnsi="楷体_GB2312" w:eastAsia="楷体_GB2312" w:cs="楷体_GB2312"/>
          <w:sz w:val="32"/>
          <w:szCs w:val="32"/>
        </w:rPr>
        <w:t>（二）直接经济损失</w:t>
      </w:r>
      <w:bookmarkEnd w:id="30"/>
      <w:bookmarkEnd w:id="31"/>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事故调查组依据《企业职工伤亡事故经济损失统计标准》（GB6721-86）的有关规定，核定事故造成直接经济损失120.12万元。</w:t>
      </w:r>
    </w:p>
    <w:p>
      <w:pPr>
        <w:pStyle w:val="4"/>
        <w:spacing w:before="0" w:after="0" w:line="560" w:lineRule="exact"/>
        <w:ind w:firstLine="640" w:firstLineChars="200"/>
        <w:rPr>
          <w:rFonts w:ascii="黑体" w:hAnsi="黑体" w:eastAsia="黑体"/>
          <w:b w:val="0"/>
          <w:bCs w:val="0"/>
        </w:rPr>
      </w:pPr>
      <w:bookmarkStart w:id="32" w:name="_Toc141372576"/>
      <w:bookmarkStart w:id="33" w:name="_Toc27543_WPSOffice_Level1"/>
      <w:bookmarkStart w:id="34" w:name="_Toc3065"/>
      <w:bookmarkStart w:id="35" w:name="_Toc20528_WPSOffice_Level1"/>
      <w:r>
        <w:rPr>
          <w:rFonts w:hint="eastAsia" w:ascii="黑体" w:hAnsi="黑体" w:eastAsia="黑体"/>
          <w:b w:val="0"/>
          <w:bCs w:val="0"/>
        </w:rPr>
        <w:t>四、事故原因及性质</w:t>
      </w:r>
      <w:bookmarkEnd w:id="32"/>
      <w:bookmarkEnd w:id="33"/>
      <w:bookmarkEnd w:id="34"/>
      <w:bookmarkEnd w:id="35"/>
      <w:bookmarkStart w:id="36" w:name="_Toc3158_WPSOffice_Level2"/>
    </w:p>
    <w:p>
      <w:pPr>
        <w:widowControl w:val="0"/>
        <w:spacing w:after="0" w:line="560" w:lineRule="exact"/>
        <w:ind w:firstLine="640" w:firstLineChars="200"/>
        <w:outlineLvl w:val="1"/>
        <w:rPr>
          <w:rFonts w:ascii="楷体_GB2312" w:hAnsi="楷体_GB2312" w:eastAsia="楷体_GB2312" w:cs="楷体_GB2312"/>
          <w:sz w:val="32"/>
          <w:szCs w:val="32"/>
        </w:rPr>
      </w:pPr>
      <w:bookmarkStart w:id="37" w:name="_Toc4303"/>
      <w:r>
        <w:rPr>
          <w:rFonts w:hint="eastAsia" w:ascii="楷体_GB2312" w:hAnsi="楷体_GB2312" w:eastAsia="楷体_GB2312" w:cs="楷体_GB2312"/>
          <w:sz w:val="32"/>
          <w:szCs w:val="32"/>
        </w:rPr>
        <w:t>（一）直接原因</w:t>
      </w:r>
      <w:bookmarkEnd w:id="36"/>
      <w:bookmarkEnd w:id="37"/>
    </w:p>
    <w:p>
      <w:pPr>
        <w:widowControl w:val="0"/>
        <w:spacing w:after="0"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韩月勇未做好自身安全防护，违规利用叉车作为脚手架进行登高作业，叉车溜车致其重心不稳坠落，导致事故发生。</w:t>
      </w:r>
    </w:p>
    <w:p>
      <w:pPr>
        <w:widowControl w:val="0"/>
        <w:spacing w:after="0" w:line="560" w:lineRule="exact"/>
        <w:ind w:firstLine="640" w:firstLineChars="200"/>
        <w:outlineLvl w:val="1"/>
        <w:rPr>
          <w:rFonts w:ascii="楷体_GB2312" w:hAnsi="楷体_GB2312" w:eastAsia="楷体_GB2312" w:cs="楷体_GB2312"/>
          <w:sz w:val="32"/>
          <w:szCs w:val="32"/>
        </w:rPr>
      </w:pPr>
      <w:bookmarkStart w:id="38" w:name="_Toc11836"/>
      <w:r>
        <w:rPr>
          <w:rFonts w:hint="eastAsia" w:ascii="楷体_GB2312" w:hAnsi="楷体_GB2312" w:eastAsia="楷体_GB2312" w:cs="楷体_GB2312"/>
          <w:sz w:val="32"/>
          <w:szCs w:val="32"/>
        </w:rPr>
        <w:t>（二）间接原因</w:t>
      </w:r>
      <w:bookmarkEnd w:id="38"/>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1.靖树华在无特种设备（叉车）作业人员证及</w:t>
      </w:r>
      <w:r>
        <w:rPr>
          <w:rFonts w:hint="eastAsia" w:ascii="仿宋_GB2312" w:hAnsi="仿宋_GB2312" w:eastAsia="仿宋_GB2312" w:cs="仿宋_GB2312"/>
          <w:sz w:val="32"/>
          <w:szCs w:val="32"/>
        </w:rPr>
        <w:t>叉车驾驶相关技能证，且</w:t>
      </w:r>
      <w:r>
        <w:rPr>
          <w:rFonts w:hint="eastAsia" w:ascii="仿宋_GB2312" w:hAnsi="仿宋_GB2312" w:eastAsia="仿宋_GB2312" w:cs="仿宋_GB2312"/>
          <w:bCs/>
          <w:sz w:val="32"/>
          <w:szCs w:val="32"/>
        </w:rPr>
        <w:t>不了解涉事叉车性能的情况下，未经睿力群公司允许，擅自将涉事叉车开动以供韩月勇登高作业使用。</w:t>
      </w:r>
      <w:r>
        <w:rPr>
          <w:rStyle w:val="18"/>
          <w:rFonts w:hint="eastAsia" w:ascii="仿宋_GB2312" w:hAnsi="仿宋_GB2312" w:eastAsia="仿宋_GB2312" w:cs="仿宋_GB2312"/>
          <w:bCs/>
          <w:sz w:val="32"/>
          <w:szCs w:val="32"/>
        </w:rPr>
        <w:footnoteReference w:id="0" w:customMarkFollows="1"/>
        <w:t>注</w:t>
      </w:r>
      <w:r>
        <w:rPr>
          <w:rStyle w:val="18"/>
          <w:rFonts w:ascii="仿宋_GB2312" w:hAnsi="仿宋_GB2312" w:eastAsia="仿宋_GB2312" w:cs="仿宋_GB2312"/>
          <w:bCs/>
          <w:sz w:val="32"/>
          <w:szCs w:val="32"/>
        </w:rPr>
        <w:t>1</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2.睿力群公司安全管理不到位。对涉事叉车疏于管理，对拟报废叉车未依法履行报废义务，未采取必要措施消除该叉车的使用功能，致使其他人员能随意开动。</w:t>
      </w:r>
      <w:r>
        <w:rPr>
          <w:rStyle w:val="18"/>
          <w:rFonts w:hint="eastAsia" w:ascii="仿宋_GB2312" w:hAnsi="仿宋_GB2312" w:eastAsia="仿宋_GB2312" w:cs="仿宋_GB2312"/>
          <w:bCs/>
          <w:sz w:val="32"/>
          <w:szCs w:val="32"/>
        </w:rPr>
        <w:footnoteReference w:id="1" w:customMarkFollows="1"/>
        <w:t>注</w:t>
      </w:r>
      <w:r>
        <w:rPr>
          <w:rStyle w:val="18"/>
          <w:rFonts w:ascii="仿宋_GB2312" w:hAnsi="仿宋_GB2312" w:eastAsia="仿宋_GB2312" w:cs="仿宋_GB2312"/>
          <w:bCs/>
          <w:sz w:val="32"/>
          <w:szCs w:val="32"/>
        </w:rPr>
        <w:t>2</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bCs/>
          <w:sz w:val="32"/>
          <w:szCs w:val="32"/>
        </w:rPr>
        <w:t>3.睿力群公司未对其外聘人员的施工过程进行现场管理巡查，现场安全隐患风险排查不力，未能对违章作业行为进行制止；</w:t>
      </w:r>
      <w:r>
        <w:rPr>
          <w:rFonts w:hint="eastAsia" w:ascii="仿宋_GB2312" w:hAnsi="仿宋_GB2312" w:eastAsia="仿宋_GB2312" w:cs="仿宋_GB2312"/>
          <w:sz w:val="32"/>
          <w:szCs w:val="32"/>
        </w:rPr>
        <w:t>未对外来人员进行必要的安全生产教育和培训。</w:t>
      </w:r>
      <w:r>
        <w:rPr>
          <w:rStyle w:val="18"/>
          <w:rFonts w:hint="eastAsia" w:ascii="仿宋_GB2312" w:hAnsi="仿宋_GB2312" w:eastAsia="仿宋_GB2312" w:cs="仿宋_GB2312"/>
          <w:sz w:val="32"/>
          <w:szCs w:val="32"/>
        </w:rPr>
        <w:footnoteReference w:id="2" w:customMarkFollows="1"/>
        <w:t>注</w:t>
      </w:r>
      <w:r>
        <w:rPr>
          <w:rStyle w:val="18"/>
          <w:rFonts w:ascii="仿宋_GB2312" w:hAnsi="仿宋_GB2312" w:eastAsia="仿宋_GB2312" w:cs="仿宋_GB2312"/>
          <w:sz w:val="32"/>
          <w:szCs w:val="32"/>
        </w:rPr>
        <w:t>3</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4.天润金属公司未与睿力群公司约定各自的安全生产职责、对睿力群公司安全生产工作统一协调、管理不到位。</w:t>
      </w:r>
      <w:bookmarkStart w:id="39" w:name="_Toc14104_WPSOffice_Level2"/>
      <w:r>
        <w:rPr>
          <w:rStyle w:val="18"/>
          <w:rFonts w:hint="eastAsia" w:ascii="仿宋_GB2312" w:hAnsi="仿宋_GB2312" w:eastAsia="仿宋_GB2312" w:cs="仿宋_GB2312"/>
          <w:sz w:val="32"/>
          <w:szCs w:val="32"/>
        </w:rPr>
        <w:footnoteReference w:id="3" w:customMarkFollows="1"/>
        <w:t>注</w:t>
      </w:r>
      <w:r>
        <w:rPr>
          <w:rStyle w:val="18"/>
          <w:rFonts w:ascii="仿宋_GB2312" w:hAnsi="仿宋_GB2312" w:eastAsia="仿宋_GB2312" w:cs="仿宋_GB2312"/>
          <w:sz w:val="32"/>
          <w:szCs w:val="32"/>
        </w:rPr>
        <w:t>4</w:t>
      </w:r>
    </w:p>
    <w:p>
      <w:pPr>
        <w:widowControl w:val="0"/>
        <w:spacing w:after="0" w:line="560" w:lineRule="exact"/>
        <w:ind w:firstLine="640" w:firstLineChars="200"/>
        <w:outlineLvl w:val="1"/>
        <w:rPr>
          <w:rFonts w:ascii="楷体_GB2312" w:hAnsi="楷体_GB2312" w:eastAsia="楷体_GB2312" w:cs="楷体_GB2312"/>
          <w:sz w:val="32"/>
          <w:szCs w:val="32"/>
        </w:rPr>
      </w:pPr>
      <w:bookmarkStart w:id="40" w:name="_Toc32028"/>
      <w:r>
        <w:rPr>
          <w:rFonts w:hint="eastAsia" w:ascii="楷体_GB2312" w:hAnsi="楷体_GB2312" w:eastAsia="楷体_GB2312" w:cs="楷体_GB2312"/>
          <w:sz w:val="32"/>
          <w:szCs w:val="32"/>
        </w:rPr>
        <w:t>（三）事故性质</w:t>
      </w:r>
      <w:bookmarkEnd w:id="39"/>
      <w:bookmarkEnd w:id="40"/>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经事故调查组认定，该事故是一起瞒报的生产安全责任事故（特种设备相关事故）。</w:t>
      </w:r>
    </w:p>
    <w:p>
      <w:pPr>
        <w:pStyle w:val="4"/>
        <w:spacing w:before="0" w:after="0" w:line="560" w:lineRule="exact"/>
        <w:ind w:firstLine="640" w:firstLineChars="200"/>
        <w:rPr>
          <w:rFonts w:ascii="黑体" w:hAnsi="黑体" w:eastAsia="黑体"/>
          <w:b w:val="0"/>
        </w:rPr>
      </w:pPr>
      <w:bookmarkStart w:id="41" w:name="_Toc23097"/>
      <w:bookmarkStart w:id="42" w:name="_Toc27461_WPSOffice_Level1"/>
      <w:bookmarkStart w:id="43" w:name="_Toc141372577"/>
      <w:bookmarkStart w:id="44" w:name="_Toc23747_WPSOffice_Level1"/>
      <w:r>
        <w:rPr>
          <w:rFonts w:hint="eastAsia" w:ascii="黑体" w:hAnsi="黑体" w:eastAsia="黑体"/>
          <w:b w:val="0"/>
        </w:rPr>
        <w:t>五、责任认定及处理建议</w:t>
      </w:r>
      <w:bookmarkEnd w:id="41"/>
      <w:bookmarkEnd w:id="42"/>
      <w:bookmarkEnd w:id="43"/>
      <w:bookmarkEnd w:id="44"/>
    </w:p>
    <w:p>
      <w:pPr>
        <w:widowControl w:val="0"/>
        <w:spacing w:after="0" w:line="560" w:lineRule="exact"/>
        <w:ind w:firstLine="640" w:firstLineChars="200"/>
        <w:outlineLvl w:val="1"/>
        <w:rPr>
          <w:rFonts w:ascii="楷体_GB2312" w:hAnsi="楷体_GB2312" w:eastAsia="楷体_GB2312" w:cs="楷体_GB2312"/>
          <w:sz w:val="32"/>
          <w:szCs w:val="32"/>
        </w:rPr>
      </w:pPr>
      <w:bookmarkStart w:id="45" w:name="_Toc17586_WPSOffice_Level2"/>
      <w:bookmarkStart w:id="46" w:name="_Toc26648"/>
      <w:r>
        <w:rPr>
          <w:rFonts w:hint="eastAsia" w:ascii="楷体_GB2312" w:hAnsi="楷体_GB2312" w:eastAsia="楷体_GB2312" w:cs="楷体_GB2312"/>
          <w:sz w:val="32"/>
          <w:szCs w:val="32"/>
        </w:rPr>
        <w:t>（一）事故责任单位的责任认定及处理建议</w:t>
      </w:r>
      <w:bookmarkEnd w:id="45"/>
      <w:bookmarkEnd w:id="46"/>
    </w:p>
    <w:p>
      <w:pPr>
        <w:widowControl w:val="0"/>
        <w:spacing w:after="0" w:line="560" w:lineRule="exact"/>
        <w:ind w:firstLine="643" w:firstLineChars="200"/>
        <w:jc w:val="both"/>
        <w:rPr>
          <w:rFonts w:ascii="仿宋_GB2312" w:hAnsi="仿宋_GB2312" w:eastAsia="仿宋_GB2312" w:cs="仿宋_GB2312"/>
          <w:b/>
          <w:sz w:val="32"/>
          <w:szCs w:val="32"/>
        </w:rPr>
      </w:pPr>
      <w:r>
        <w:rPr>
          <w:rFonts w:hint="eastAsia" w:ascii="仿宋_GB2312" w:hAnsi="仿宋_GB2312" w:eastAsia="仿宋_GB2312" w:cs="仿宋_GB2312"/>
          <w:b/>
          <w:sz w:val="32"/>
          <w:szCs w:val="32"/>
        </w:rPr>
        <w:t>1.睿力群公司</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睿力群公司</w:t>
      </w:r>
      <w:r>
        <w:rPr>
          <w:rFonts w:hint="eastAsia" w:ascii="仿宋_GB2312" w:hAnsi="仿宋_GB2312" w:eastAsia="仿宋_GB2312" w:cs="仿宋_GB2312"/>
          <w:bCs/>
          <w:sz w:val="32"/>
          <w:szCs w:val="32"/>
        </w:rPr>
        <w:t>安全管理不到位，安全生产规章制度不健全，安全教育、培训不到位，事发后未依法向有关部门报告事故情况，</w:t>
      </w:r>
      <w:r>
        <w:rPr>
          <w:rFonts w:hint="eastAsia" w:ascii="仿宋_GB2312" w:hAnsi="仿宋_GB2312" w:eastAsia="仿宋_GB2312" w:cs="仿宋_GB2312"/>
          <w:sz w:val="32"/>
          <w:szCs w:val="32"/>
        </w:rPr>
        <w:t>对事故发生负有责任。</w:t>
      </w:r>
      <w:r>
        <w:rPr>
          <w:rFonts w:hint="eastAsia" w:ascii="仿宋_GB2312" w:hAnsi="仿宋_GB2312" w:eastAsia="仿宋_GB2312" w:cs="仿宋_GB2312"/>
          <w:bCs/>
          <w:sz w:val="32"/>
          <w:szCs w:val="32"/>
        </w:rPr>
        <w:t>其行为违反了</w:t>
      </w:r>
      <w:r>
        <w:rPr>
          <w:rFonts w:hint="eastAsia" w:ascii="仿宋_GB2312" w:hAnsi="仿宋_GB2312" w:eastAsia="仿宋_GB2312" w:cs="仿宋_GB2312"/>
          <w:sz w:val="32"/>
          <w:szCs w:val="32"/>
        </w:rPr>
        <w:t>《中华人民共和国特种设备安全法》第十三条第一款</w:t>
      </w:r>
      <w:r>
        <w:rPr>
          <w:rStyle w:val="18"/>
          <w:rFonts w:ascii="仿宋_GB2312" w:hAnsi="仿宋_GB2312" w:eastAsia="仿宋_GB2312" w:cs="仿宋_GB2312"/>
          <w:sz w:val="32"/>
          <w:szCs w:val="32"/>
        </w:rPr>
        <w:t>[</w:t>
      </w:r>
      <w:r>
        <w:rPr>
          <w:rStyle w:val="18"/>
          <w:rFonts w:ascii="仿宋_GB2312" w:hAnsi="仿宋_GB2312" w:eastAsia="仿宋_GB2312" w:cs="仿宋_GB2312"/>
          <w:sz w:val="32"/>
          <w:szCs w:val="32"/>
        </w:rPr>
        <w:footnoteReference w:id="4"/>
      </w:r>
      <w:r>
        <w:rPr>
          <w:rStyle w:val="18"/>
          <w:rFonts w:ascii="仿宋_GB2312" w:hAnsi="仿宋_GB2312" w:eastAsia="仿宋_GB2312" w:cs="仿宋_GB2312"/>
          <w:sz w:val="32"/>
          <w:szCs w:val="32"/>
        </w:rPr>
        <w:t>]</w:t>
      </w:r>
      <w:r>
        <w:rPr>
          <w:rFonts w:hint="eastAsia" w:ascii="仿宋_GB2312" w:hAnsi="仿宋_GB2312" w:eastAsia="仿宋_GB2312" w:cs="仿宋_GB2312"/>
          <w:sz w:val="32"/>
          <w:szCs w:val="32"/>
        </w:rPr>
        <w:t>、第七十条第三款</w:t>
      </w:r>
      <w:r>
        <w:rPr>
          <w:rStyle w:val="18"/>
          <w:rFonts w:ascii="仿宋_GB2312" w:hAnsi="仿宋_GB2312" w:eastAsia="仿宋_GB2312" w:cs="仿宋_GB2312"/>
          <w:sz w:val="32"/>
          <w:szCs w:val="32"/>
        </w:rPr>
        <w:t>[</w:t>
      </w:r>
      <w:r>
        <w:rPr>
          <w:rStyle w:val="18"/>
          <w:rFonts w:ascii="仿宋_GB2312" w:hAnsi="仿宋_GB2312" w:eastAsia="仿宋_GB2312" w:cs="仿宋_GB2312"/>
          <w:sz w:val="32"/>
          <w:szCs w:val="32"/>
        </w:rPr>
        <w:footnoteReference w:id="5"/>
      </w:r>
      <w:r>
        <w:rPr>
          <w:rStyle w:val="18"/>
          <w:rFonts w:ascii="仿宋_GB2312" w:hAnsi="仿宋_GB2312" w:eastAsia="仿宋_GB2312" w:cs="仿宋_GB2312"/>
          <w:sz w:val="32"/>
          <w:szCs w:val="32"/>
        </w:rPr>
        <w:t>]</w:t>
      </w:r>
      <w:r>
        <w:rPr>
          <w:rFonts w:hint="eastAsia" w:ascii="仿宋_GB2312" w:hAnsi="仿宋_GB2312" w:eastAsia="仿宋_GB2312" w:cs="仿宋_GB2312"/>
          <w:sz w:val="32"/>
          <w:szCs w:val="32"/>
        </w:rPr>
        <w:t>之规定。建议天津市滨海新区市场监督管理局依据《中华人民共和国特种设备安全法》第八十九条第（二）项</w:t>
      </w:r>
      <w:r>
        <w:rPr>
          <w:rStyle w:val="18"/>
          <w:rFonts w:ascii="仿宋_GB2312" w:hAnsi="仿宋_GB2312" w:eastAsia="仿宋_GB2312" w:cs="仿宋_GB2312"/>
          <w:sz w:val="32"/>
          <w:szCs w:val="32"/>
        </w:rPr>
        <w:t>[</w:t>
      </w:r>
      <w:r>
        <w:rPr>
          <w:rStyle w:val="18"/>
          <w:rFonts w:ascii="仿宋_GB2312" w:hAnsi="仿宋_GB2312" w:eastAsia="仿宋_GB2312" w:cs="仿宋_GB2312"/>
          <w:sz w:val="32"/>
          <w:szCs w:val="32"/>
        </w:rPr>
        <w:footnoteReference w:id="6"/>
      </w:r>
      <w:r>
        <w:rPr>
          <w:rStyle w:val="18"/>
          <w:rFonts w:ascii="仿宋_GB2312" w:hAnsi="仿宋_GB2312" w:eastAsia="仿宋_GB2312" w:cs="仿宋_GB2312"/>
          <w:sz w:val="32"/>
          <w:szCs w:val="32"/>
        </w:rPr>
        <w:t>]</w:t>
      </w:r>
      <w:r>
        <w:rPr>
          <w:rFonts w:hint="eastAsia" w:ascii="仿宋_GB2312" w:hAnsi="仿宋_GB2312" w:eastAsia="仿宋_GB2312" w:cs="仿宋_GB2312"/>
          <w:sz w:val="32"/>
          <w:szCs w:val="32"/>
        </w:rPr>
        <w:t>、第九十条第（一）项</w:t>
      </w:r>
      <w:r>
        <w:rPr>
          <w:rStyle w:val="18"/>
          <w:rFonts w:ascii="仿宋_GB2312" w:hAnsi="仿宋_GB2312" w:eastAsia="仿宋_GB2312" w:cs="仿宋_GB2312"/>
          <w:sz w:val="32"/>
          <w:szCs w:val="32"/>
        </w:rPr>
        <w:t>[</w:t>
      </w:r>
      <w:r>
        <w:rPr>
          <w:rStyle w:val="18"/>
          <w:rFonts w:ascii="仿宋_GB2312" w:hAnsi="仿宋_GB2312" w:eastAsia="仿宋_GB2312" w:cs="仿宋_GB2312"/>
          <w:sz w:val="32"/>
          <w:szCs w:val="32"/>
        </w:rPr>
        <w:footnoteReference w:id="7"/>
      </w:r>
      <w:r>
        <w:rPr>
          <w:rStyle w:val="18"/>
          <w:rFonts w:ascii="仿宋_GB2312" w:hAnsi="仿宋_GB2312" w:eastAsia="仿宋_GB2312" w:cs="仿宋_GB2312"/>
          <w:sz w:val="32"/>
          <w:szCs w:val="32"/>
        </w:rPr>
        <w:t>]</w:t>
      </w:r>
      <w:r>
        <w:rPr>
          <w:rFonts w:hint="eastAsia" w:ascii="仿宋_GB2312" w:hAnsi="仿宋_GB2312" w:eastAsia="仿宋_GB2312" w:cs="仿宋_GB2312"/>
          <w:sz w:val="32"/>
          <w:szCs w:val="32"/>
        </w:rPr>
        <w:t>之规定对其进行行政处罚。</w:t>
      </w:r>
    </w:p>
    <w:p>
      <w:pPr>
        <w:widowControl w:val="0"/>
        <w:spacing w:after="0" w:line="560" w:lineRule="exact"/>
        <w:ind w:firstLine="643" w:firstLineChars="200"/>
        <w:jc w:val="both"/>
        <w:rPr>
          <w:rFonts w:ascii="仿宋_GB2312" w:hAnsi="仿宋_GB2312" w:eastAsia="仿宋_GB2312" w:cs="仿宋_GB2312"/>
          <w:b/>
          <w:sz w:val="32"/>
          <w:szCs w:val="32"/>
        </w:rPr>
      </w:pPr>
      <w:r>
        <w:rPr>
          <w:rFonts w:hint="eastAsia" w:ascii="仿宋_GB2312" w:hAnsi="仿宋_GB2312" w:eastAsia="仿宋_GB2312" w:cs="仿宋_GB2312"/>
          <w:b/>
          <w:sz w:val="32"/>
          <w:szCs w:val="32"/>
        </w:rPr>
        <w:t>2.天润金属公司</w:t>
      </w:r>
    </w:p>
    <w:p>
      <w:pPr>
        <w:pStyle w:val="2"/>
        <w:spacing w:line="560" w:lineRule="exact"/>
        <w:ind w:left="0" w:leftChars="0" w:firstLine="640" w:firstLineChars="200"/>
        <w:rPr>
          <w:rFonts w:ascii="仿宋_GB2312" w:hAnsi="Tahoma" w:eastAsia="仿宋_GB2312" w:cstheme="minorBidi"/>
          <w:sz w:val="32"/>
          <w:szCs w:val="32"/>
        </w:rPr>
      </w:pPr>
      <w:r>
        <w:rPr>
          <w:rFonts w:hint="eastAsia" w:ascii="仿宋_GB2312" w:eastAsia="仿宋_GB2312"/>
          <w:sz w:val="32"/>
          <w:szCs w:val="32"/>
        </w:rPr>
        <w:t>天润金属公司未与睿力群公司约定各自的安全生产职责、对</w:t>
      </w:r>
      <w:r>
        <w:rPr>
          <w:rFonts w:hint="eastAsia" w:ascii="仿宋_GB2312" w:hAnsi="Tahoma" w:eastAsia="仿宋_GB2312" w:cstheme="minorBidi"/>
          <w:sz w:val="32"/>
          <w:szCs w:val="32"/>
        </w:rPr>
        <w:t>睿力群公司安全生产工作统一协调、管理不到位。建议小王庄镇政府对其进行约谈。</w:t>
      </w:r>
    </w:p>
    <w:p>
      <w:pPr>
        <w:widowControl w:val="0"/>
        <w:spacing w:after="0" w:line="560" w:lineRule="exact"/>
        <w:ind w:firstLine="640" w:firstLineChars="200"/>
        <w:outlineLvl w:val="1"/>
        <w:rPr>
          <w:rFonts w:ascii="楷体_GB2312" w:hAnsi="楷体_GB2312" w:eastAsia="楷体_GB2312" w:cs="楷体_GB2312"/>
          <w:sz w:val="32"/>
          <w:szCs w:val="32"/>
        </w:rPr>
      </w:pPr>
      <w:bookmarkStart w:id="47" w:name="_Toc1928"/>
      <w:bookmarkStart w:id="48" w:name="_Toc1984_WPSOffice_Level2"/>
      <w:r>
        <w:rPr>
          <w:rFonts w:hint="eastAsia" w:ascii="楷体_GB2312" w:hAnsi="楷体_GB2312" w:eastAsia="楷体_GB2312" w:cs="楷体_GB2312"/>
          <w:sz w:val="32"/>
          <w:szCs w:val="32"/>
        </w:rPr>
        <w:t>（二）事故责任人员的责任认定及处理建议</w:t>
      </w:r>
      <w:bookmarkEnd w:id="47"/>
      <w:bookmarkEnd w:id="48"/>
    </w:p>
    <w:p>
      <w:pPr>
        <w:widowControl w:val="0"/>
        <w:spacing w:after="0" w:line="560" w:lineRule="exact"/>
        <w:ind w:firstLine="643" w:firstLineChars="200"/>
        <w:jc w:val="both"/>
        <w:rPr>
          <w:rFonts w:ascii="仿宋_GB2312" w:hAnsi="仿宋_GB2312" w:eastAsia="仿宋_GB2312" w:cs="仿宋_GB2312"/>
          <w:b/>
          <w:bCs/>
          <w:sz w:val="24"/>
          <w:szCs w:val="24"/>
        </w:rPr>
      </w:pPr>
      <w:r>
        <w:rPr>
          <w:rFonts w:hint="eastAsia" w:ascii="仿宋_GB2312" w:hAnsi="仿宋_GB2312" w:eastAsia="仿宋_GB2312" w:cs="仿宋_GB2312"/>
          <w:b/>
          <w:bCs/>
          <w:sz w:val="32"/>
          <w:szCs w:val="32"/>
        </w:rPr>
        <w:t>1.靖树华</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靖树华在未经睿力群公司同意、不了解涉事叉车性能、不具备驾驶叉车资格的情况下，擅自将涉事叉车驾驶至事发处以供韩月勇使用，对事故的发生负有责任。建议天津市滨海新区公安局依法对其调查处理。</w:t>
      </w:r>
    </w:p>
    <w:p>
      <w:pPr>
        <w:widowControl w:val="0"/>
        <w:spacing w:after="0" w:line="560" w:lineRule="exact"/>
        <w:ind w:firstLine="643" w:firstLineChars="200"/>
        <w:jc w:val="both"/>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2.韩月勇</w:t>
      </w:r>
    </w:p>
    <w:p>
      <w:pPr>
        <w:widowControl w:val="0"/>
        <w:spacing w:after="0" w:line="560" w:lineRule="exact"/>
        <w:ind w:firstLine="640" w:firstLineChars="200"/>
        <w:jc w:val="both"/>
        <w:rPr>
          <w:rFonts w:ascii="仿宋_GB2312" w:hAnsi="仿宋_GB2312" w:eastAsia="仿宋_GB2312" w:cs="仿宋_GB2312"/>
          <w:bCs/>
          <w:strike/>
          <w:sz w:val="32"/>
          <w:szCs w:val="32"/>
        </w:rPr>
      </w:pPr>
      <w:r>
        <w:rPr>
          <w:rFonts w:hint="eastAsia" w:ascii="仿宋_GB2312" w:hAnsi="仿宋_GB2312" w:eastAsia="仿宋_GB2312" w:cs="仿宋_GB2312"/>
          <w:bCs/>
          <w:sz w:val="32"/>
          <w:szCs w:val="32"/>
        </w:rPr>
        <w:t>韩月勇安全意识淡薄，未能发现作业过程中的安全隐患，未佩戴任何安全防护措施登高作业，导致事故发生，对事故的发生负有责任。鉴于其已在事故中死亡，不再追究其责任。</w:t>
      </w:r>
    </w:p>
    <w:p>
      <w:pPr>
        <w:widowControl w:val="0"/>
        <w:spacing w:after="0" w:line="560" w:lineRule="exact"/>
        <w:ind w:firstLine="643" w:firstLineChars="200"/>
        <w:jc w:val="both"/>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3.李之岩</w:t>
      </w:r>
    </w:p>
    <w:p>
      <w:pPr>
        <w:widowControl w:val="0"/>
        <w:spacing w:after="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bCs/>
          <w:sz w:val="32"/>
          <w:szCs w:val="32"/>
        </w:rPr>
        <w:t>李之岩，睿力群公司实际控制人、安全生产工作主要责任人，全面负责本单位的安全生产工作，督促、检查本单位安全生产工作不力，对安全生产责任制、安全生产规章制度的建立健全及落实监督、检查不到位，对现场作业存在的安全风险未能及时排查，发生事故后，未将事故情况向相关部门报告，对该起事故负有主要领导责任</w:t>
      </w:r>
      <w:r>
        <w:rPr>
          <w:rFonts w:hint="eastAsia" w:ascii="仿宋_GB2312" w:hAnsi="仿宋_GB2312" w:eastAsia="仿宋_GB2312" w:cs="仿宋_GB2312"/>
          <w:sz w:val="32"/>
          <w:szCs w:val="32"/>
        </w:rPr>
        <w:t>。其行为违反了《中华人民共和国特种设备安全法》第十三条第一款、第七十条第三款之规定。</w:t>
      </w:r>
      <w:r>
        <w:rPr>
          <w:rFonts w:hint="eastAsia" w:ascii="仿宋_GB2312" w:hAnsi="仿宋_GB2312" w:eastAsia="仿宋_GB2312" w:cs="仿宋_GB2312"/>
          <w:bCs/>
          <w:sz w:val="32"/>
          <w:szCs w:val="32"/>
        </w:rPr>
        <w:t>建议天津市滨海新区市场监督管理局依据《中华人民共和国特种设备安全法》第八十九条第（二）项、</w:t>
      </w:r>
      <w:r>
        <w:rPr>
          <w:rFonts w:hint="eastAsia" w:ascii="仿宋_GB2312" w:hAnsi="仿宋_GB2312" w:eastAsia="仿宋_GB2312" w:cs="仿宋_GB2312"/>
          <w:sz w:val="32"/>
          <w:szCs w:val="32"/>
        </w:rPr>
        <w:t>第九十一条第（一）项</w:t>
      </w:r>
      <w:r>
        <w:rPr>
          <w:rStyle w:val="18"/>
          <w:rFonts w:hint="eastAsia" w:ascii="仿宋_GB2312" w:hAnsi="仿宋_GB2312" w:eastAsia="仿宋_GB2312" w:cs="仿宋_GB2312"/>
          <w:sz w:val="32"/>
          <w:szCs w:val="32"/>
        </w:rPr>
        <w:t>[</w:t>
      </w:r>
      <w:r>
        <w:rPr>
          <w:rStyle w:val="18"/>
          <w:rFonts w:hint="eastAsia" w:ascii="仿宋_GB2312" w:hAnsi="仿宋_GB2312" w:eastAsia="仿宋_GB2312" w:cs="仿宋_GB2312"/>
          <w:sz w:val="32"/>
          <w:szCs w:val="32"/>
        </w:rPr>
        <w:footnoteReference w:id="8"/>
      </w:r>
      <w:r>
        <w:rPr>
          <w:rStyle w:val="18"/>
          <w:rFonts w:hint="eastAsia" w:ascii="仿宋_GB2312" w:hAnsi="仿宋_GB2312" w:eastAsia="仿宋_GB2312" w:cs="仿宋_GB2312"/>
          <w:sz w:val="32"/>
          <w:szCs w:val="32"/>
        </w:rPr>
        <w:t>]</w:t>
      </w:r>
      <w:r>
        <w:rPr>
          <w:rFonts w:hint="eastAsia" w:ascii="仿宋_GB2312" w:hAnsi="仿宋_GB2312" w:eastAsia="仿宋_GB2312" w:cs="仿宋_GB2312"/>
          <w:sz w:val="32"/>
          <w:szCs w:val="32"/>
        </w:rPr>
        <w:t>之规定对其进行行政处罚。</w:t>
      </w:r>
    </w:p>
    <w:p>
      <w:pPr>
        <w:pStyle w:val="4"/>
        <w:spacing w:before="0" w:after="0" w:line="560" w:lineRule="exact"/>
        <w:ind w:firstLine="643" w:firstLineChars="200"/>
        <w:rPr>
          <w:rFonts w:ascii="黑体" w:hAnsi="黑体" w:eastAsia="黑体"/>
        </w:rPr>
      </w:pPr>
      <w:bookmarkStart w:id="49" w:name="_Toc8023_WPSOffice_Level1"/>
      <w:bookmarkStart w:id="50" w:name="_Toc6706_WPSOffice_Level1"/>
      <w:bookmarkStart w:id="51" w:name="_Toc141372578"/>
      <w:bookmarkStart w:id="52" w:name="_Toc25602"/>
      <w:r>
        <w:rPr>
          <w:rFonts w:hint="eastAsia" w:ascii="黑体" w:hAnsi="黑体" w:eastAsia="黑体"/>
        </w:rPr>
        <w:t>六、事故防范和整改措施</w:t>
      </w:r>
      <w:bookmarkEnd w:id="49"/>
      <w:bookmarkEnd w:id="50"/>
      <w:bookmarkEnd w:id="51"/>
      <w:bookmarkEnd w:id="52"/>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针对此起事故暴露出的突出问题，为深刻吸取事故教训，进一步加强企业安全生产工作，有效防范生产安全事故的重复发生，提出如下整改措施建议：</w:t>
      </w:r>
    </w:p>
    <w:p>
      <w:pPr>
        <w:widowControl w:val="0"/>
        <w:spacing w:after="0" w:line="560" w:lineRule="exact"/>
        <w:ind w:firstLine="643" w:firstLineChars="200"/>
        <w:outlineLvl w:val="1"/>
        <w:rPr>
          <w:rFonts w:ascii="仿宋_GB2312" w:hAnsi="楷体_GB2312" w:eastAsia="仿宋_GB2312" w:cs="楷体_GB2312"/>
          <w:b/>
          <w:sz w:val="32"/>
          <w:szCs w:val="32"/>
        </w:rPr>
      </w:pPr>
      <w:bookmarkStart w:id="53" w:name="_Toc7269"/>
      <w:r>
        <w:rPr>
          <w:rFonts w:hint="eastAsia" w:ascii="仿宋_GB2312" w:hAnsi="楷体_GB2312" w:eastAsia="仿宋_GB2312" w:cs="楷体_GB2312"/>
          <w:b/>
          <w:sz w:val="32"/>
          <w:szCs w:val="32"/>
        </w:rPr>
        <w:t>（一）睿力群公司</w:t>
      </w:r>
      <w:bookmarkEnd w:id="53"/>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强化安全生产红线意识。要牢固树立安全生产发展理念和红线意识，认真学习贯彻《中华人民共和国安全生产法》《中华人民共和国特种设备安全法》等法律法规，举一反三，全面落实企业安全生产主体责任，认真做好各项安全生产工作。</w:t>
      </w:r>
      <w:bookmarkStart w:id="54" w:name="_Toc4660_WPSOffice_Level2"/>
    </w:p>
    <w:bookmarkEnd w:id="54"/>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建立健全全员安全生产责任制和安全生产规章制度。要加大对安全生产资金、物资、技术、人员的投入保障力度，改善安全生产条件，构建安全风险分级管控和隐患排查治理双重预防机制，提高安全生产水平，确保安全生产。</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3.建立健全教育培训机制。要将被派遣劳动者纳入本单位从业人员统一管理，对被派遣劳动者进行岗位安全操作规程和安全操作技能的教育和培训。培训教育要有针对性，提高培训质量和效果。</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4.制定完善本单位应急预案，严格落实安全生产应急演练工作，加强现场应急演练，提升单位应急处置能力和水平。</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5.将存在严重事故隐患且达到报废条件的涉事叉车进行报废处理，</w:t>
      </w:r>
      <w:bookmarkStart w:id="55" w:name="_Toc20278"/>
      <w:r>
        <w:rPr>
          <w:rFonts w:hint="eastAsia" w:ascii="仿宋_GB2312" w:hAnsi="仿宋_GB2312" w:eastAsia="仿宋_GB2312" w:cs="仿宋_GB2312"/>
          <w:bCs/>
          <w:sz w:val="32"/>
          <w:szCs w:val="32"/>
        </w:rPr>
        <w:t>对于新购进的特种设备，需依法依规办理相关手续后使用。</w:t>
      </w:r>
    </w:p>
    <w:p>
      <w:pPr>
        <w:widowControl w:val="0"/>
        <w:spacing w:after="0" w:line="560" w:lineRule="exact"/>
        <w:ind w:firstLine="643" w:firstLineChars="200"/>
        <w:outlineLvl w:val="1"/>
        <w:rPr>
          <w:rFonts w:ascii="仿宋_GB2312" w:hAnsi="楷体_GB2312" w:eastAsia="仿宋_GB2312" w:cs="楷体_GB2312"/>
          <w:b/>
          <w:sz w:val="32"/>
          <w:szCs w:val="32"/>
        </w:rPr>
      </w:pPr>
      <w:r>
        <w:rPr>
          <w:rFonts w:hint="eastAsia" w:ascii="仿宋_GB2312" w:hAnsi="楷体_GB2312" w:eastAsia="仿宋_GB2312" w:cs="楷体_GB2312"/>
          <w:b/>
          <w:sz w:val="32"/>
          <w:szCs w:val="32"/>
        </w:rPr>
        <w:t>（二）天润金属公司</w:t>
      </w:r>
      <w:bookmarkEnd w:id="55"/>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天润金属公司要与睿力群公司签订专门的安全生产管理协议，明确各自的安全生产管理职责；加强对睿力群公司安全生产工作的统一协调、管理。</w:t>
      </w:r>
    </w:p>
    <w:p>
      <w:pPr>
        <w:widowControl w:val="0"/>
        <w:spacing w:after="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睿力群公司、天润金属公司要按照滨海新区人民政府批复的事故调查报告处理意见，依法依规进行处理，落实整改措施。在接到事故调查报告后30日内，将整改落实情况报送天津市滨海新区市场监督管理局。</w:t>
      </w:r>
      <w:bookmarkStart w:id="56" w:name="_Toc31970_WPSOffice_Level1"/>
      <w:bookmarkStart w:id="57" w:name="_Toc8955_WPSOffice_Level1"/>
    </w:p>
    <w:bookmarkEnd w:id="56"/>
    <w:bookmarkEnd w:id="57"/>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jc w:val="both"/>
        <w:rPr>
          <w:rFonts w:ascii="仿宋_GB2312" w:hAnsi="仿宋_GB2312" w:eastAsia="仿宋_GB2312" w:cs="仿宋_GB2312"/>
          <w:sz w:val="32"/>
          <w:szCs w:val="32"/>
        </w:rPr>
      </w:pPr>
    </w:p>
    <w:p>
      <w:pPr>
        <w:spacing w:line="560" w:lineRule="exact"/>
        <w:ind w:right="640" w:firstLine="6080" w:firstLineChars="1900"/>
        <w:rPr>
          <w:rFonts w:ascii="仿宋_GB2312" w:hAnsi="仿宋_GB2312" w:eastAsia="仿宋_GB2312" w:cs="仿宋_GB2312"/>
          <w:sz w:val="32"/>
          <w:szCs w:val="32"/>
        </w:rPr>
      </w:pPr>
      <w:r>
        <w:rPr>
          <w:rFonts w:hint="eastAsia" w:ascii="仿宋_GB2312" w:hAnsi="仿宋_GB2312" w:eastAsia="仿宋_GB2312" w:cs="仿宋_GB2312"/>
          <w:sz w:val="32"/>
          <w:szCs w:val="32"/>
        </w:rPr>
        <w:t>事故调查组</w:t>
      </w:r>
    </w:p>
    <w:p>
      <w:pPr>
        <w:spacing w:line="560" w:lineRule="exact"/>
        <w:jc w:val="both"/>
      </w:pPr>
      <w:r>
        <w:rPr>
          <w:rFonts w:hint="eastAsia" w:ascii="仿宋_GB2312" w:hAnsi="仿宋_GB2312" w:eastAsia="仿宋_GB2312" w:cs="仿宋_GB2312"/>
          <w:sz w:val="32"/>
          <w:szCs w:val="32"/>
        </w:rPr>
        <w:t xml:space="preserve">                                   2023年8月9日</w:t>
      </w:r>
    </w:p>
    <w:sectPr>
      <w:footerReference r:id="rId5" w:type="default"/>
      <w:footnotePr>
        <w:numRestart w:val="eachPage"/>
      </w:footnotePr>
      <w:pgSz w:w="11906" w:h="16838"/>
      <w:pgMar w:top="2098" w:right="1474" w:bottom="1984" w:left="1587" w:header="708" w:footer="708" w:gutter="0"/>
      <w:pgNumType w:start="1"/>
      <w:cols w:space="708"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pict>
        <v:shape id="Text Box 1026" o:spid="_x0000_s4097" o:spt="202" type="#_x0000_t202" style="position:absolute;left:0pt;margin-top:0pt;height:20.85pt;width:22.05pt;mso-position-horizontal:center;mso-position-horizontal-relative:margin;z-index:2516602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KiHpAEAAD8DAAAOAAAAZHJzL2Uyb0RvYy54bWysUttu2zAMfR+wfxD0vsjx2iwz4hQrihYF&#10;iq1Auw9QZCkWIImCpMTO35dSnPT2NuyFpkj68BySq6vRGrKXIWpwLZ3PKkqkE9Bpt23p3+fbb0tK&#10;YuKu4wacbOlBRnq1/vplNfhG1tCD6WQgCOJiM/iW9in5hrEoeml5nIGXDpMKguUJn2HLusAHRLeG&#10;1VW1YAOEzgcQMkaM3hyTdF3wlZIi/VEqykRMS5FbKjYUu8mWrVe82Qbuey0mGvwfWFiuHTY9Q93w&#10;xMku6E9QVosAEVSaCbAMlNJCFg2oZl59UPPUcy+LFhxO9Ocxxf8HK37vHwPRHe6OEsctruhZjolc&#10;w0jmVb3IAxp8bLDuyWNlGjGTi6d4xGDWPapg8xcVEczjqA/n8WY8gcF6WVXfLykRmKoXFz9+XmYU&#10;9vqzDzHdSbAkOy0NuL0yVL5/iOlYeirJvRzcamMwzhvj3gUQM0dYZn5kmL00bsaJ9ga6A6ox9w5n&#10;me/i5ISTszk5Ox/0tkc688Il+l+7hI0Ln4x6hJqa4ZaKoumi8hm8fZeq17tfvwAAAP//AwBQSwME&#10;FAAGAAgAAAAhAErXPPHZAAAAAwEAAA8AAABkcnMvZG93bnJldi54bWxMjzFPwzAQhXek/gfrKrGg&#10;1nFVFRriVBWChY2Whc2NjySqfY5iNwn99RwssNzT6Z3e+67YTd6JAfvYBtKglhkIpCrYlmoN78eX&#10;xQOImAxZ4wKhhi+MsCtnN4XJbRjpDYdDqgWHUMyNhialLpcyVg16E5ehQ2LvM/TeJF77WtrejBzu&#10;nVxl2UZ60xI3NKbDpwar8+HiNWym5+7udYur8Vq5gT6uSiVUWt/Op/0jiIRT+juGH3xGh5KZTuFC&#10;NgqngR9Jv5O99VqBOLGqe5BlIf+zl98AAAD//wMAUEsBAi0AFAAGAAgAAAAhALaDOJL+AAAA4QEA&#10;ABMAAAAAAAAAAAAAAAAAAAAAAFtDb250ZW50X1R5cGVzXS54bWxQSwECLQAUAAYACAAAACEAOP0h&#10;/9YAAACUAQAACwAAAAAAAAAAAAAAAAAvAQAAX3JlbHMvLnJlbHNQSwECLQAUAAYACAAAACEA70io&#10;h6QBAAA/AwAADgAAAAAAAAAAAAAAAAAuAgAAZHJzL2Uyb0RvYy54bWxQSwECLQAUAAYACAAAACEA&#10;Stc88dkAAAADAQAADwAAAAAAAAAAAAAAAAD+AwAAZHJzL2Rvd25yZXYueG1sUEsFBgAAAAAEAAQA&#10;8wAAAAQFAAAAAA==&#10;">
          <v:path/>
          <v:fill on="f" focussize="0,0"/>
          <v:stroke on="f" joinstyle="miter"/>
          <v:imagedata o:title=""/>
          <o:lock v:ext="edit"/>
          <v:textbox inset="0mm,0mm,0mm,0mm" style="mso-fit-shape-to-text:t;">
            <w:txbxContent>
              <w:p>
                <w:pPr>
                  <w:pStyle w:val="8"/>
                  <w:rPr>
                    <w:rFonts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ascii="仿宋_GB2312" w:hAnsi="仿宋_GB2312" w:eastAsia="仿宋_GB2312" w:cs="仿宋_GB2312"/>
                    <w:sz w:val="24"/>
                    <w:szCs w:val="24"/>
                  </w:rPr>
                  <w:t>4</w:t>
                </w:r>
                <w:r>
                  <w:rPr>
                    <w:rFonts w:hint="eastAsia" w:ascii="仿宋_GB2312" w:hAnsi="仿宋_GB2312" w:eastAsia="仿宋_GB2312" w:cs="仿宋_GB2312"/>
                    <w:sz w:val="24"/>
                    <w:szCs w:val="24"/>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18">
    <w:p>
      <w:pPr>
        <w:spacing w:before="0" w:after="0"/>
      </w:pPr>
      <w:r>
        <w:separator/>
      </w:r>
    </w:p>
  </w:footnote>
  <w:footnote w:type="continuationSeparator" w:id="19">
    <w:p>
      <w:pPr>
        <w:spacing w:before="0" w:after="0"/>
      </w:pPr>
      <w:r>
        <w:continuationSeparator/>
      </w:r>
    </w:p>
  </w:footnote>
  <w:footnote w:id="0">
    <w:p>
      <w:pPr>
        <w:pStyle w:val="11"/>
        <w:rPr>
          <w:rFonts w:asciiTheme="minorEastAsia" w:hAnsiTheme="minorEastAsia" w:eastAsiaTheme="minorEastAsia"/>
        </w:rPr>
      </w:pPr>
      <w:r>
        <w:rPr>
          <w:rStyle w:val="18"/>
          <w:rFonts w:hint="eastAsia" w:asciiTheme="minorEastAsia" w:hAnsiTheme="minorEastAsia" w:eastAsiaTheme="minorEastAsia"/>
        </w:rPr>
        <w:t>注1</w:t>
      </w:r>
      <w:r>
        <w:rPr>
          <w:rFonts w:hint="eastAsia" w:asciiTheme="minorEastAsia" w:hAnsiTheme="minorEastAsia" w:eastAsiaTheme="minorEastAsia"/>
        </w:rPr>
        <w:t>《中华人民共和国特种设备安全法》第十四条：特种设备安全管理人员、检测人员和作业人员应当按照国家有关规定取得相应资格，方可从事相关工作。</w:t>
      </w:r>
    </w:p>
  </w:footnote>
  <w:footnote w:id="1">
    <w:p>
      <w:pPr>
        <w:pStyle w:val="11"/>
        <w:rPr>
          <w:rFonts w:asciiTheme="minorEastAsia" w:hAnsiTheme="minorEastAsia" w:eastAsiaTheme="minorEastAsia"/>
        </w:rPr>
      </w:pPr>
      <w:r>
        <w:rPr>
          <w:rStyle w:val="18"/>
          <w:rFonts w:hint="eastAsia" w:asciiTheme="minorEastAsia" w:hAnsiTheme="minorEastAsia" w:eastAsiaTheme="minorEastAsia"/>
        </w:rPr>
        <w:t>注2</w:t>
      </w:r>
      <w:r>
        <w:rPr>
          <w:rFonts w:hint="eastAsia" w:asciiTheme="minorEastAsia" w:hAnsiTheme="minorEastAsia" w:eastAsiaTheme="minorEastAsia"/>
        </w:rPr>
        <w:t>《场（厂）内专用机动车辆安全技术规程》（TSG 81-2022）5.3</w:t>
      </w:r>
      <w:r>
        <w:rPr>
          <w:rFonts w:hint="eastAsia" w:asciiTheme="minorEastAsia" w:hAnsiTheme="minorEastAsia" w:eastAsiaTheme="minorEastAsia"/>
          <w:b/>
        </w:rPr>
        <w:t>:</w:t>
      </w:r>
      <w:r>
        <w:rPr>
          <w:rFonts w:hint="eastAsia" w:asciiTheme="minorEastAsia" w:hAnsiTheme="minorEastAsia" w:eastAsiaTheme="minorEastAsia"/>
        </w:rPr>
        <w:t>场车存在严重事故隐患，无改造、修理价值的，或者达到相关标准规定报废条件的，使用单位应当依法履行报废义务，采取必要措施消除该场车的使用功能，并且注销使用登记。</w:t>
      </w:r>
    </w:p>
  </w:footnote>
  <w:footnote w:id="2">
    <w:p>
      <w:pPr>
        <w:pStyle w:val="11"/>
        <w:rPr>
          <w:rFonts w:asciiTheme="minorEastAsia" w:hAnsiTheme="minorEastAsia" w:eastAsiaTheme="minorEastAsia"/>
        </w:rPr>
      </w:pPr>
      <w:r>
        <w:rPr>
          <w:rStyle w:val="18"/>
          <w:rFonts w:hint="eastAsia" w:asciiTheme="minorEastAsia" w:hAnsiTheme="minorEastAsia" w:eastAsiaTheme="minorEastAsia"/>
        </w:rPr>
        <w:t>注3</w:t>
      </w:r>
      <w:r>
        <w:rPr>
          <w:rFonts w:hint="eastAsia" w:asciiTheme="minorEastAsia" w:hAnsiTheme="minorEastAsia" w:eastAsiaTheme="minorEastAsia"/>
        </w:rPr>
        <w:t>《中华人民共和国安全生产法》第二十八条第二款：生产经营单位使用被派遣劳动者的，应当将被派遣劳动者纳入本单位从业人员统一管理，对被派遣劳动者进行岗位安全操作规程和安全操作技能的教育和培训。</w:t>
      </w:r>
    </w:p>
  </w:footnote>
  <w:footnote w:id="3">
    <w:p>
      <w:pPr>
        <w:pStyle w:val="11"/>
        <w:rPr>
          <w:rFonts w:asciiTheme="minorEastAsia" w:hAnsiTheme="minorEastAsia" w:eastAsiaTheme="minorEastAsia"/>
        </w:rPr>
      </w:pPr>
      <w:r>
        <w:rPr>
          <w:rStyle w:val="18"/>
          <w:rFonts w:hint="eastAsia" w:asciiTheme="minorEastAsia" w:hAnsiTheme="minorEastAsia" w:eastAsiaTheme="minorEastAsia"/>
        </w:rPr>
        <w:t>注4</w:t>
      </w:r>
      <w:r>
        <w:rPr>
          <w:rFonts w:hint="eastAsia" w:asciiTheme="minorEastAsia" w:hAnsiTheme="minorEastAsia" w:eastAsiaTheme="minorEastAsia"/>
        </w:rPr>
        <w:t>《中华人民共和国安全生产法》第四十九条第二款：生产经营单位应当与承包单位、承租单位签订专门的安全生产管理协议，或者在承包合同、租赁合同中约定各自的安全生产管理职责；生产经营单位对承包单位、承租单位的安全生产工作统一协调、管理，定期进行安全检查。</w:t>
      </w:r>
    </w:p>
  </w:footnote>
  <w:footnote w:id="4">
    <w:p>
      <w:pPr>
        <w:pStyle w:val="11"/>
        <w:widowControl w:val="0"/>
        <w:adjustRightInd/>
        <w:spacing w:after="0"/>
        <w:rPr>
          <w:rFonts w:ascii="Times New Roman" w:hAnsi="Times New Roman" w:eastAsia="宋体" w:cs="Times New Roman"/>
          <w:kern w:val="2"/>
          <w:szCs w:val="24"/>
        </w:rPr>
      </w:pPr>
      <w:r>
        <w:rPr>
          <w:rFonts w:hint="eastAsia" w:ascii="Times New Roman" w:hAnsi="Times New Roman" w:eastAsia="宋体" w:cs="Times New Roman"/>
          <w:kern w:val="2"/>
          <w:szCs w:val="24"/>
        </w:rPr>
        <w:t>[</w:t>
      </w:r>
      <w:r>
        <w:rPr>
          <w:rFonts w:hint="eastAsia" w:ascii="Times New Roman" w:hAnsi="Times New Roman" w:eastAsia="宋体" w:cs="Times New Roman"/>
          <w:kern w:val="2"/>
          <w:szCs w:val="24"/>
        </w:rPr>
        <w:footnoteRef/>
      </w:r>
      <w:r>
        <w:rPr>
          <w:rFonts w:hint="eastAsia" w:ascii="Times New Roman" w:hAnsi="Times New Roman" w:eastAsia="宋体" w:cs="Times New Roman"/>
          <w:kern w:val="2"/>
          <w:szCs w:val="24"/>
        </w:rPr>
        <w:t>]《中华人民共和国特种设备安全法》第十三条第一款：特种设备生产、经营、使用单位及其主要负责人对其生产、经营、使用的特种设备安全负责。</w:t>
      </w:r>
    </w:p>
  </w:footnote>
  <w:footnote w:id="5">
    <w:p>
      <w:pPr>
        <w:pStyle w:val="11"/>
        <w:widowControl w:val="0"/>
        <w:adjustRightInd/>
        <w:spacing w:after="0"/>
        <w:rPr>
          <w:rFonts w:ascii="Times New Roman" w:hAnsi="Times New Roman" w:eastAsia="宋体" w:cs="Times New Roman"/>
          <w:kern w:val="2"/>
          <w:szCs w:val="24"/>
        </w:rPr>
      </w:pPr>
      <w:r>
        <w:rPr>
          <w:rFonts w:hint="eastAsia" w:ascii="Times New Roman" w:hAnsi="Times New Roman" w:eastAsia="宋体" w:cs="Times New Roman"/>
          <w:kern w:val="2"/>
          <w:szCs w:val="24"/>
        </w:rPr>
        <w:t>[</w:t>
      </w:r>
      <w:r>
        <w:rPr>
          <w:rFonts w:hint="eastAsia" w:ascii="Times New Roman" w:hAnsi="Times New Roman" w:eastAsia="宋体" w:cs="Times New Roman"/>
          <w:kern w:val="2"/>
          <w:szCs w:val="24"/>
        </w:rPr>
        <w:footnoteRef/>
      </w:r>
      <w:r>
        <w:rPr>
          <w:rFonts w:hint="eastAsia" w:ascii="Times New Roman" w:hAnsi="Times New Roman" w:eastAsia="宋体" w:cs="Times New Roman"/>
          <w:kern w:val="2"/>
          <w:szCs w:val="24"/>
        </w:rPr>
        <w:t>]《中华人民共和国特种设备安全法》第七十条第三款：与事故相关的单位和人员不得迟报、谎报或者瞒报事故情况，不得隐匿、毁灭有关证据或者故意破坏事故现场。</w:t>
      </w:r>
    </w:p>
  </w:footnote>
  <w:footnote w:id="6">
    <w:p>
      <w:pPr>
        <w:pStyle w:val="11"/>
        <w:widowControl w:val="0"/>
        <w:adjustRightInd/>
        <w:spacing w:after="0"/>
        <w:rPr>
          <w:rFonts w:ascii="Times New Roman" w:hAnsi="Times New Roman" w:eastAsia="宋体" w:cs="Times New Roman"/>
          <w:kern w:val="2"/>
          <w:szCs w:val="24"/>
        </w:rPr>
      </w:pPr>
      <w:r>
        <w:rPr>
          <w:rFonts w:hint="eastAsia" w:ascii="Times New Roman" w:hAnsi="Times New Roman" w:eastAsia="宋体" w:cs="Times New Roman"/>
          <w:kern w:val="2"/>
          <w:szCs w:val="24"/>
        </w:rPr>
        <w:t>[</w:t>
      </w:r>
      <w:r>
        <w:rPr>
          <w:rFonts w:hint="eastAsia" w:ascii="Times New Roman" w:hAnsi="Times New Roman" w:eastAsia="宋体" w:cs="Times New Roman"/>
          <w:kern w:val="2"/>
          <w:szCs w:val="24"/>
        </w:rPr>
        <w:footnoteRef/>
      </w:r>
      <w:r>
        <w:rPr>
          <w:rFonts w:hint="eastAsia" w:ascii="Times New Roman" w:hAnsi="Times New Roman" w:eastAsia="宋体" w:cs="Times New Roman"/>
          <w:kern w:val="2"/>
          <w:szCs w:val="24"/>
        </w:rPr>
        <w:t>]《中华人民共和国特种设备安全法》第八十九条第（二）项：发生特种设备事故，有下列情形之一的，对单位处五万元以上二十万元以下罚款；对特种设备事故迟报、谎报或者瞒报的。</w:t>
      </w:r>
    </w:p>
  </w:footnote>
  <w:footnote w:id="7">
    <w:p>
      <w:pPr>
        <w:pStyle w:val="11"/>
        <w:widowControl w:val="0"/>
        <w:adjustRightInd/>
        <w:spacing w:after="0"/>
        <w:rPr>
          <w:rFonts w:ascii="Times New Roman" w:hAnsi="Times New Roman" w:eastAsia="宋体" w:cs="Times New Roman"/>
          <w:kern w:val="2"/>
          <w:szCs w:val="24"/>
        </w:rPr>
      </w:pPr>
      <w:r>
        <w:rPr>
          <w:rFonts w:hint="eastAsia" w:ascii="Times New Roman" w:hAnsi="Times New Roman" w:eastAsia="宋体" w:cs="Times New Roman"/>
          <w:kern w:val="2"/>
          <w:szCs w:val="24"/>
        </w:rPr>
        <w:t>[</w:t>
      </w:r>
      <w:r>
        <w:rPr>
          <w:rFonts w:hint="eastAsia" w:ascii="Times New Roman" w:hAnsi="Times New Roman" w:eastAsia="宋体" w:cs="Times New Roman"/>
          <w:kern w:val="2"/>
          <w:szCs w:val="24"/>
        </w:rPr>
        <w:footnoteRef/>
      </w:r>
      <w:r>
        <w:rPr>
          <w:rFonts w:hint="eastAsia" w:ascii="Times New Roman" w:hAnsi="Times New Roman" w:eastAsia="宋体" w:cs="Times New Roman"/>
          <w:kern w:val="2"/>
          <w:szCs w:val="24"/>
        </w:rPr>
        <w:t>]《中华人民共和国特种设备安全法》第九十条第（一）项：发生事故，对负有责任的单位除要求其依法承担相应的赔偿等责任外，依照下列规定处以罚款：（一）发生一般事故，处十万元以上二十万元以下罚款；</w:t>
      </w:r>
    </w:p>
  </w:footnote>
  <w:footnote w:id="8">
    <w:p>
      <w:pPr>
        <w:pStyle w:val="11"/>
        <w:widowControl w:val="0"/>
        <w:adjustRightInd/>
        <w:spacing w:after="0"/>
        <w:rPr>
          <w:rFonts w:ascii="Times New Roman" w:hAnsi="Times New Roman" w:eastAsia="宋体" w:cs="Times New Roman"/>
          <w:kern w:val="2"/>
          <w:szCs w:val="24"/>
        </w:rPr>
      </w:pPr>
      <w:r>
        <w:rPr>
          <w:rFonts w:hint="eastAsia" w:ascii="Times New Roman" w:hAnsi="Times New Roman" w:eastAsia="宋体" w:cs="Times New Roman"/>
          <w:kern w:val="2"/>
          <w:szCs w:val="24"/>
        </w:rPr>
        <w:t>[</w:t>
      </w:r>
      <w:r>
        <w:rPr>
          <w:rFonts w:hint="eastAsia" w:ascii="Times New Roman" w:hAnsi="Times New Roman" w:eastAsia="宋体" w:cs="Times New Roman"/>
          <w:kern w:val="2"/>
          <w:szCs w:val="24"/>
        </w:rPr>
        <w:footnoteRef/>
      </w:r>
      <w:r>
        <w:rPr>
          <w:rFonts w:hint="eastAsia" w:ascii="Times New Roman" w:hAnsi="Times New Roman" w:eastAsia="宋体" w:cs="Times New Roman"/>
          <w:kern w:val="2"/>
          <w:szCs w:val="24"/>
        </w:rPr>
        <w:t>] 《中华人民共和国特种设备安全法》第九十一条第（一）项：对事故发生负有责任的单位的主要负责人未依法履行职责或者负有领导责任的，依照下列规定处以罚款；属于国家工作人员的，并依法给予处分：（一）发生一般事故，处上一年年收入百分之三十的罚款。</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720"/>
  <w:noPunctuationKerning w:val="1"/>
  <w:characterSpacingControl w:val="doNotCompress"/>
  <w:hdrShapeDefaults>
    <o:shapelayout v:ext="edit">
      <o:idmap v:ext="edit" data="4"/>
    </o:shapelayout>
  </w:hdrShapeDefaults>
  <w:footnotePr>
    <w:numRestart w:val="eachPage"/>
    <w:footnote w:id="18"/>
    <w:footnote w:id="19"/>
  </w:footnotePr>
  <w:compat>
    <w:doNotExpandShiftReturn/>
    <w:useFELayout/>
    <w:compatSetting w:name="compatibilityMode" w:uri="http://schemas.microsoft.com/office/word" w:val="12"/>
  </w:compat>
  <w:docVars>
    <w:docVar w:name="commondata" w:val="eyJoZGlkIjoiNTNhMDUxMWQzYTEzZDgwYjkxM2I5ZWI1ZTZmMWM3MjQifQ=="/>
  </w:docVars>
  <w:rsids>
    <w:rsidRoot w:val="00D31D50"/>
    <w:rsid w:val="00001847"/>
    <w:rsid w:val="00001C89"/>
    <w:rsid w:val="0000467F"/>
    <w:rsid w:val="000068A6"/>
    <w:rsid w:val="00007130"/>
    <w:rsid w:val="000111F9"/>
    <w:rsid w:val="00014666"/>
    <w:rsid w:val="000158DE"/>
    <w:rsid w:val="0002159A"/>
    <w:rsid w:val="00022087"/>
    <w:rsid w:val="000269EC"/>
    <w:rsid w:val="00026C87"/>
    <w:rsid w:val="00027146"/>
    <w:rsid w:val="00030772"/>
    <w:rsid w:val="000317A9"/>
    <w:rsid w:val="000330E4"/>
    <w:rsid w:val="00033EE6"/>
    <w:rsid w:val="00035CE9"/>
    <w:rsid w:val="00036F29"/>
    <w:rsid w:val="000371E3"/>
    <w:rsid w:val="00041855"/>
    <w:rsid w:val="00044916"/>
    <w:rsid w:val="00044EE0"/>
    <w:rsid w:val="00047F0C"/>
    <w:rsid w:val="000533EF"/>
    <w:rsid w:val="0005439D"/>
    <w:rsid w:val="000554AF"/>
    <w:rsid w:val="00056753"/>
    <w:rsid w:val="0005764D"/>
    <w:rsid w:val="00065122"/>
    <w:rsid w:val="0006515D"/>
    <w:rsid w:val="00070763"/>
    <w:rsid w:val="00073759"/>
    <w:rsid w:val="00074E05"/>
    <w:rsid w:val="0007671F"/>
    <w:rsid w:val="000924D0"/>
    <w:rsid w:val="00094C4F"/>
    <w:rsid w:val="00095C76"/>
    <w:rsid w:val="000A0EB0"/>
    <w:rsid w:val="000A52B8"/>
    <w:rsid w:val="000A7968"/>
    <w:rsid w:val="000B2CD3"/>
    <w:rsid w:val="000B5476"/>
    <w:rsid w:val="000B71D1"/>
    <w:rsid w:val="000C256B"/>
    <w:rsid w:val="000C31E9"/>
    <w:rsid w:val="000C6604"/>
    <w:rsid w:val="000C7E3D"/>
    <w:rsid w:val="000D1673"/>
    <w:rsid w:val="000D2F77"/>
    <w:rsid w:val="000D3E6C"/>
    <w:rsid w:val="000D42A1"/>
    <w:rsid w:val="000D5D89"/>
    <w:rsid w:val="000E0A0E"/>
    <w:rsid w:val="000E363D"/>
    <w:rsid w:val="000E3CEA"/>
    <w:rsid w:val="000F4B27"/>
    <w:rsid w:val="000F5936"/>
    <w:rsid w:val="000F5BB9"/>
    <w:rsid w:val="00100207"/>
    <w:rsid w:val="00101DDA"/>
    <w:rsid w:val="00103B38"/>
    <w:rsid w:val="00105C2A"/>
    <w:rsid w:val="00106FB2"/>
    <w:rsid w:val="001077EC"/>
    <w:rsid w:val="00110399"/>
    <w:rsid w:val="0011164B"/>
    <w:rsid w:val="00112133"/>
    <w:rsid w:val="00114696"/>
    <w:rsid w:val="001152FF"/>
    <w:rsid w:val="001153DF"/>
    <w:rsid w:val="00117F96"/>
    <w:rsid w:val="00124F02"/>
    <w:rsid w:val="0013021A"/>
    <w:rsid w:val="00130D01"/>
    <w:rsid w:val="0013206C"/>
    <w:rsid w:val="00135495"/>
    <w:rsid w:val="0014529A"/>
    <w:rsid w:val="0014610D"/>
    <w:rsid w:val="00160DE5"/>
    <w:rsid w:val="00163038"/>
    <w:rsid w:val="00166A53"/>
    <w:rsid w:val="00171B20"/>
    <w:rsid w:val="00174B20"/>
    <w:rsid w:val="001754EC"/>
    <w:rsid w:val="00177FD4"/>
    <w:rsid w:val="001803E4"/>
    <w:rsid w:val="001829DF"/>
    <w:rsid w:val="001858E3"/>
    <w:rsid w:val="00185BF6"/>
    <w:rsid w:val="001868E0"/>
    <w:rsid w:val="00192A9E"/>
    <w:rsid w:val="001A5BBC"/>
    <w:rsid w:val="001B1FFA"/>
    <w:rsid w:val="001C1E4B"/>
    <w:rsid w:val="001C6239"/>
    <w:rsid w:val="001C6437"/>
    <w:rsid w:val="001C66AA"/>
    <w:rsid w:val="001D3E0A"/>
    <w:rsid w:val="001D3F8C"/>
    <w:rsid w:val="001D456B"/>
    <w:rsid w:val="001D52EF"/>
    <w:rsid w:val="001E7E33"/>
    <w:rsid w:val="001F0C57"/>
    <w:rsid w:val="001F1B3B"/>
    <w:rsid w:val="001F4BAD"/>
    <w:rsid w:val="001F4F37"/>
    <w:rsid w:val="001F6990"/>
    <w:rsid w:val="001F7791"/>
    <w:rsid w:val="00203CE3"/>
    <w:rsid w:val="00204F00"/>
    <w:rsid w:val="002050A7"/>
    <w:rsid w:val="0020729D"/>
    <w:rsid w:val="002102E9"/>
    <w:rsid w:val="002122CB"/>
    <w:rsid w:val="002133F7"/>
    <w:rsid w:val="00213754"/>
    <w:rsid w:val="0021717B"/>
    <w:rsid w:val="00220363"/>
    <w:rsid w:val="00221AFA"/>
    <w:rsid w:val="00223D35"/>
    <w:rsid w:val="002251DC"/>
    <w:rsid w:val="0023168E"/>
    <w:rsid w:val="002332F3"/>
    <w:rsid w:val="0023499B"/>
    <w:rsid w:val="0023626B"/>
    <w:rsid w:val="00236448"/>
    <w:rsid w:val="00242FF8"/>
    <w:rsid w:val="00245E24"/>
    <w:rsid w:val="002465C7"/>
    <w:rsid w:val="00247283"/>
    <w:rsid w:val="00250075"/>
    <w:rsid w:val="00252B0D"/>
    <w:rsid w:val="0025490B"/>
    <w:rsid w:val="00254EF8"/>
    <w:rsid w:val="002571F1"/>
    <w:rsid w:val="00263A05"/>
    <w:rsid w:val="00266F73"/>
    <w:rsid w:val="00274128"/>
    <w:rsid w:val="0027423C"/>
    <w:rsid w:val="00276C06"/>
    <w:rsid w:val="0028328E"/>
    <w:rsid w:val="00284872"/>
    <w:rsid w:val="00297E3B"/>
    <w:rsid w:val="002A36CB"/>
    <w:rsid w:val="002A69FA"/>
    <w:rsid w:val="002B0AC3"/>
    <w:rsid w:val="002B0FA8"/>
    <w:rsid w:val="002B6A21"/>
    <w:rsid w:val="002D04E5"/>
    <w:rsid w:val="002D58EF"/>
    <w:rsid w:val="002D645D"/>
    <w:rsid w:val="002E115B"/>
    <w:rsid w:val="002E2D95"/>
    <w:rsid w:val="002E3094"/>
    <w:rsid w:val="002E3F7B"/>
    <w:rsid w:val="002E5C1B"/>
    <w:rsid w:val="002E612A"/>
    <w:rsid w:val="002F2409"/>
    <w:rsid w:val="002F2A86"/>
    <w:rsid w:val="002F64E4"/>
    <w:rsid w:val="00302138"/>
    <w:rsid w:val="00312AEA"/>
    <w:rsid w:val="003150AD"/>
    <w:rsid w:val="0031610F"/>
    <w:rsid w:val="00323447"/>
    <w:rsid w:val="00323A32"/>
    <w:rsid w:val="00323B43"/>
    <w:rsid w:val="00324C45"/>
    <w:rsid w:val="003320F8"/>
    <w:rsid w:val="00337D4B"/>
    <w:rsid w:val="00337E9A"/>
    <w:rsid w:val="00342306"/>
    <w:rsid w:val="00347A16"/>
    <w:rsid w:val="003531EE"/>
    <w:rsid w:val="003546D7"/>
    <w:rsid w:val="0036105E"/>
    <w:rsid w:val="00364C0D"/>
    <w:rsid w:val="00371CC8"/>
    <w:rsid w:val="00372E6A"/>
    <w:rsid w:val="00372FEE"/>
    <w:rsid w:val="00373467"/>
    <w:rsid w:val="003737DE"/>
    <w:rsid w:val="00375B62"/>
    <w:rsid w:val="0039235B"/>
    <w:rsid w:val="00394D23"/>
    <w:rsid w:val="00396F36"/>
    <w:rsid w:val="003A3AA0"/>
    <w:rsid w:val="003A56B7"/>
    <w:rsid w:val="003B0433"/>
    <w:rsid w:val="003B1944"/>
    <w:rsid w:val="003B1D75"/>
    <w:rsid w:val="003C1D05"/>
    <w:rsid w:val="003C21DE"/>
    <w:rsid w:val="003C39B7"/>
    <w:rsid w:val="003D3283"/>
    <w:rsid w:val="003D37D8"/>
    <w:rsid w:val="003D44F4"/>
    <w:rsid w:val="003D766D"/>
    <w:rsid w:val="003E02E8"/>
    <w:rsid w:val="003E1056"/>
    <w:rsid w:val="003E7BAB"/>
    <w:rsid w:val="003F5FB7"/>
    <w:rsid w:val="003F62B0"/>
    <w:rsid w:val="003F767A"/>
    <w:rsid w:val="003F7F1E"/>
    <w:rsid w:val="00412DD9"/>
    <w:rsid w:val="004155A8"/>
    <w:rsid w:val="004204A2"/>
    <w:rsid w:val="00426133"/>
    <w:rsid w:val="0043198A"/>
    <w:rsid w:val="004324DD"/>
    <w:rsid w:val="00432610"/>
    <w:rsid w:val="00432EC8"/>
    <w:rsid w:val="004358AB"/>
    <w:rsid w:val="00443CCB"/>
    <w:rsid w:val="004462FC"/>
    <w:rsid w:val="004513EC"/>
    <w:rsid w:val="00453EDE"/>
    <w:rsid w:val="00455B4E"/>
    <w:rsid w:val="00456E4C"/>
    <w:rsid w:val="004630A4"/>
    <w:rsid w:val="00466D62"/>
    <w:rsid w:val="004677FC"/>
    <w:rsid w:val="004707F8"/>
    <w:rsid w:val="00472A85"/>
    <w:rsid w:val="00473792"/>
    <w:rsid w:val="00475A4F"/>
    <w:rsid w:val="0048013F"/>
    <w:rsid w:val="0048424C"/>
    <w:rsid w:val="00485A26"/>
    <w:rsid w:val="00490463"/>
    <w:rsid w:val="004A5150"/>
    <w:rsid w:val="004A75B4"/>
    <w:rsid w:val="004B06F5"/>
    <w:rsid w:val="004B793D"/>
    <w:rsid w:val="004C0C83"/>
    <w:rsid w:val="004C3264"/>
    <w:rsid w:val="004D1C3A"/>
    <w:rsid w:val="004D2714"/>
    <w:rsid w:val="004D3757"/>
    <w:rsid w:val="004D5DDB"/>
    <w:rsid w:val="004D6885"/>
    <w:rsid w:val="004E1894"/>
    <w:rsid w:val="004E33C0"/>
    <w:rsid w:val="004F4CFE"/>
    <w:rsid w:val="004F7850"/>
    <w:rsid w:val="005013B0"/>
    <w:rsid w:val="00502A97"/>
    <w:rsid w:val="00503701"/>
    <w:rsid w:val="005046FD"/>
    <w:rsid w:val="00510A47"/>
    <w:rsid w:val="00510F3F"/>
    <w:rsid w:val="00511F83"/>
    <w:rsid w:val="00513E0E"/>
    <w:rsid w:val="005176D2"/>
    <w:rsid w:val="00520DF3"/>
    <w:rsid w:val="0052406B"/>
    <w:rsid w:val="00525AE3"/>
    <w:rsid w:val="00530154"/>
    <w:rsid w:val="00531B09"/>
    <w:rsid w:val="00535A75"/>
    <w:rsid w:val="00542A6C"/>
    <w:rsid w:val="00550E08"/>
    <w:rsid w:val="0055382C"/>
    <w:rsid w:val="005612FC"/>
    <w:rsid w:val="005623D8"/>
    <w:rsid w:val="005656A4"/>
    <w:rsid w:val="005709BB"/>
    <w:rsid w:val="00570DBB"/>
    <w:rsid w:val="00571F93"/>
    <w:rsid w:val="005732D8"/>
    <w:rsid w:val="00573331"/>
    <w:rsid w:val="00574AD2"/>
    <w:rsid w:val="0057539E"/>
    <w:rsid w:val="005753E3"/>
    <w:rsid w:val="005827AD"/>
    <w:rsid w:val="00585B48"/>
    <w:rsid w:val="0058606A"/>
    <w:rsid w:val="00590037"/>
    <w:rsid w:val="0059137F"/>
    <w:rsid w:val="00596604"/>
    <w:rsid w:val="00596D4F"/>
    <w:rsid w:val="0059711A"/>
    <w:rsid w:val="005A5EC6"/>
    <w:rsid w:val="005A7FDE"/>
    <w:rsid w:val="005B026A"/>
    <w:rsid w:val="005B2244"/>
    <w:rsid w:val="005B5360"/>
    <w:rsid w:val="005B62C0"/>
    <w:rsid w:val="005C014E"/>
    <w:rsid w:val="005C64DA"/>
    <w:rsid w:val="005D1965"/>
    <w:rsid w:val="005D3697"/>
    <w:rsid w:val="005D504E"/>
    <w:rsid w:val="005D6E4F"/>
    <w:rsid w:val="005E031C"/>
    <w:rsid w:val="005E05E6"/>
    <w:rsid w:val="005E29C6"/>
    <w:rsid w:val="005E4809"/>
    <w:rsid w:val="005E5F53"/>
    <w:rsid w:val="005E7404"/>
    <w:rsid w:val="005F020C"/>
    <w:rsid w:val="005F2E98"/>
    <w:rsid w:val="005F6D50"/>
    <w:rsid w:val="006142CC"/>
    <w:rsid w:val="006209F9"/>
    <w:rsid w:val="00625588"/>
    <w:rsid w:val="00625AD8"/>
    <w:rsid w:val="006264DA"/>
    <w:rsid w:val="00626761"/>
    <w:rsid w:val="006305D6"/>
    <w:rsid w:val="0063159C"/>
    <w:rsid w:val="006323EF"/>
    <w:rsid w:val="00635FA6"/>
    <w:rsid w:val="00637210"/>
    <w:rsid w:val="006407EC"/>
    <w:rsid w:val="00640926"/>
    <w:rsid w:val="006433A7"/>
    <w:rsid w:val="006568CE"/>
    <w:rsid w:val="00657380"/>
    <w:rsid w:val="00664D53"/>
    <w:rsid w:val="00670AE7"/>
    <w:rsid w:val="006771D1"/>
    <w:rsid w:val="0067798F"/>
    <w:rsid w:val="006824E7"/>
    <w:rsid w:val="006848E0"/>
    <w:rsid w:val="00697A15"/>
    <w:rsid w:val="006A4087"/>
    <w:rsid w:val="006A5EE9"/>
    <w:rsid w:val="006A6AEF"/>
    <w:rsid w:val="006A7C03"/>
    <w:rsid w:val="006B0869"/>
    <w:rsid w:val="006C0235"/>
    <w:rsid w:val="006C3B1C"/>
    <w:rsid w:val="006C671F"/>
    <w:rsid w:val="006C6759"/>
    <w:rsid w:val="006C6936"/>
    <w:rsid w:val="006D1FAE"/>
    <w:rsid w:val="006D5AA4"/>
    <w:rsid w:val="006E0EA7"/>
    <w:rsid w:val="006E3057"/>
    <w:rsid w:val="006E5322"/>
    <w:rsid w:val="006F044E"/>
    <w:rsid w:val="006F4FE4"/>
    <w:rsid w:val="006F632B"/>
    <w:rsid w:val="006F649B"/>
    <w:rsid w:val="006F6BBD"/>
    <w:rsid w:val="00700026"/>
    <w:rsid w:val="00700E7D"/>
    <w:rsid w:val="00702F69"/>
    <w:rsid w:val="00705A8C"/>
    <w:rsid w:val="007065FF"/>
    <w:rsid w:val="00706C72"/>
    <w:rsid w:val="00711375"/>
    <w:rsid w:val="00715A36"/>
    <w:rsid w:val="0072372A"/>
    <w:rsid w:val="00727D6D"/>
    <w:rsid w:val="0074113F"/>
    <w:rsid w:val="00742F91"/>
    <w:rsid w:val="00743BE8"/>
    <w:rsid w:val="00745198"/>
    <w:rsid w:val="00746549"/>
    <w:rsid w:val="00747C07"/>
    <w:rsid w:val="00751DBC"/>
    <w:rsid w:val="00753765"/>
    <w:rsid w:val="007540CE"/>
    <w:rsid w:val="00757D4A"/>
    <w:rsid w:val="00757DDE"/>
    <w:rsid w:val="007616B1"/>
    <w:rsid w:val="00762858"/>
    <w:rsid w:val="00766EC5"/>
    <w:rsid w:val="00766F02"/>
    <w:rsid w:val="00771B5F"/>
    <w:rsid w:val="00773F70"/>
    <w:rsid w:val="00775B04"/>
    <w:rsid w:val="007817EC"/>
    <w:rsid w:val="00781F85"/>
    <w:rsid w:val="00782FED"/>
    <w:rsid w:val="00791169"/>
    <w:rsid w:val="00791454"/>
    <w:rsid w:val="00792390"/>
    <w:rsid w:val="007950F9"/>
    <w:rsid w:val="007A1333"/>
    <w:rsid w:val="007A32EE"/>
    <w:rsid w:val="007A69DB"/>
    <w:rsid w:val="007A71B6"/>
    <w:rsid w:val="007B2321"/>
    <w:rsid w:val="007B3777"/>
    <w:rsid w:val="007B4EFB"/>
    <w:rsid w:val="007C3EB9"/>
    <w:rsid w:val="007C6FCB"/>
    <w:rsid w:val="007C7B56"/>
    <w:rsid w:val="007C7D3C"/>
    <w:rsid w:val="007D0A8B"/>
    <w:rsid w:val="007D27BB"/>
    <w:rsid w:val="007D3B82"/>
    <w:rsid w:val="007E23DD"/>
    <w:rsid w:val="007E343F"/>
    <w:rsid w:val="007E3692"/>
    <w:rsid w:val="007E5279"/>
    <w:rsid w:val="007E5ABC"/>
    <w:rsid w:val="007E5DEB"/>
    <w:rsid w:val="007E6AFF"/>
    <w:rsid w:val="007F0BCE"/>
    <w:rsid w:val="007F3FB3"/>
    <w:rsid w:val="007F543C"/>
    <w:rsid w:val="007F6F28"/>
    <w:rsid w:val="007F7B4E"/>
    <w:rsid w:val="00800E46"/>
    <w:rsid w:val="00801099"/>
    <w:rsid w:val="008011B4"/>
    <w:rsid w:val="00804BA9"/>
    <w:rsid w:val="008102BD"/>
    <w:rsid w:val="00810B92"/>
    <w:rsid w:val="00813F9C"/>
    <w:rsid w:val="00815341"/>
    <w:rsid w:val="008172D7"/>
    <w:rsid w:val="00820AAA"/>
    <w:rsid w:val="008251DC"/>
    <w:rsid w:val="008262B6"/>
    <w:rsid w:val="00826A31"/>
    <w:rsid w:val="00830CCF"/>
    <w:rsid w:val="0083331C"/>
    <w:rsid w:val="00841A18"/>
    <w:rsid w:val="0084369F"/>
    <w:rsid w:val="008456BC"/>
    <w:rsid w:val="00846E3F"/>
    <w:rsid w:val="00846F6B"/>
    <w:rsid w:val="008479BE"/>
    <w:rsid w:val="008516EC"/>
    <w:rsid w:val="008560EC"/>
    <w:rsid w:val="00856D3A"/>
    <w:rsid w:val="00863756"/>
    <w:rsid w:val="00863C4D"/>
    <w:rsid w:val="00871C0D"/>
    <w:rsid w:val="00873A3A"/>
    <w:rsid w:val="00874111"/>
    <w:rsid w:val="00874477"/>
    <w:rsid w:val="0087674D"/>
    <w:rsid w:val="00876AA1"/>
    <w:rsid w:val="008812CB"/>
    <w:rsid w:val="00882B6A"/>
    <w:rsid w:val="00896109"/>
    <w:rsid w:val="00896BA3"/>
    <w:rsid w:val="00897229"/>
    <w:rsid w:val="008A0324"/>
    <w:rsid w:val="008A0EEC"/>
    <w:rsid w:val="008A5F92"/>
    <w:rsid w:val="008A760E"/>
    <w:rsid w:val="008B0AAE"/>
    <w:rsid w:val="008B0AF8"/>
    <w:rsid w:val="008B4405"/>
    <w:rsid w:val="008B7726"/>
    <w:rsid w:val="008B7D02"/>
    <w:rsid w:val="008C274F"/>
    <w:rsid w:val="008C3F44"/>
    <w:rsid w:val="008C7748"/>
    <w:rsid w:val="008C7E67"/>
    <w:rsid w:val="008D1E92"/>
    <w:rsid w:val="008D2855"/>
    <w:rsid w:val="008D3389"/>
    <w:rsid w:val="008D51F9"/>
    <w:rsid w:val="008D715E"/>
    <w:rsid w:val="008F07FF"/>
    <w:rsid w:val="008F23E6"/>
    <w:rsid w:val="008F72CE"/>
    <w:rsid w:val="00900EBC"/>
    <w:rsid w:val="00901463"/>
    <w:rsid w:val="00903F70"/>
    <w:rsid w:val="0091333F"/>
    <w:rsid w:val="0091793A"/>
    <w:rsid w:val="00920567"/>
    <w:rsid w:val="00922A02"/>
    <w:rsid w:val="00925450"/>
    <w:rsid w:val="00925C23"/>
    <w:rsid w:val="009319EC"/>
    <w:rsid w:val="00932220"/>
    <w:rsid w:val="00932B58"/>
    <w:rsid w:val="00936631"/>
    <w:rsid w:val="00937431"/>
    <w:rsid w:val="00946A2B"/>
    <w:rsid w:val="00947D60"/>
    <w:rsid w:val="00950E5F"/>
    <w:rsid w:val="00960D75"/>
    <w:rsid w:val="00966466"/>
    <w:rsid w:val="00966AB5"/>
    <w:rsid w:val="009744BF"/>
    <w:rsid w:val="00976DE3"/>
    <w:rsid w:val="009816FF"/>
    <w:rsid w:val="00993DB7"/>
    <w:rsid w:val="00995AE2"/>
    <w:rsid w:val="009A24B7"/>
    <w:rsid w:val="009A350C"/>
    <w:rsid w:val="009B089F"/>
    <w:rsid w:val="009B0E8E"/>
    <w:rsid w:val="009B1D21"/>
    <w:rsid w:val="009B3570"/>
    <w:rsid w:val="009B5543"/>
    <w:rsid w:val="009B60FA"/>
    <w:rsid w:val="009B61AA"/>
    <w:rsid w:val="009B66A8"/>
    <w:rsid w:val="009C0CF1"/>
    <w:rsid w:val="009C71F6"/>
    <w:rsid w:val="009C7C1A"/>
    <w:rsid w:val="009D35B4"/>
    <w:rsid w:val="009D71AA"/>
    <w:rsid w:val="009E4550"/>
    <w:rsid w:val="009E4C9D"/>
    <w:rsid w:val="009E52F4"/>
    <w:rsid w:val="009F2E4D"/>
    <w:rsid w:val="009F35F6"/>
    <w:rsid w:val="009F3D38"/>
    <w:rsid w:val="009F53BD"/>
    <w:rsid w:val="009F6EBE"/>
    <w:rsid w:val="009F718B"/>
    <w:rsid w:val="00A00958"/>
    <w:rsid w:val="00A02458"/>
    <w:rsid w:val="00A02B29"/>
    <w:rsid w:val="00A02BC1"/>
    <w:rsid w:val="00A02BFE"/>
    <w:rsid w:val="00A030DE"/>
    <w:rsid w:val="00A069D5"/>
    <w:rsid w:val="00A11D05"/>
    <w:rsid w:val="00A14236"/>
    <w:rsid w:val="00A1492D"/>
    <w:rsid w:val="00A15BF4"/>
    <w:rsid w:val="00A210BE"/>
    <w:rsid w:val="00A218AE"/>
    <w:rsid w:val="00A278AC"/>
    <w:rsid w:val="00A30028"/>
    <w:rsid w:val="00A31698"/>
    <w:rsid w:val="00A33100"/>
    <w:rsid w:val="00A35054"/>
    <w:rsid w:val="00A35B37"/>
    <w:rsid w:val="00A3783D"/>
    <w:rsid w:val="00A37DAF"/>
    <w:rsid w:val="00A4603C"/>
    <w:rsid w:val="00A55DA2"/>
    <w:rsid w:val="00A57187"/>
    <w:rsid w:val="00A63487"/>
    <w:rsid w:val="00A72545"/>
    <w:rsid w:val="00A74A55"/>
    <w:rsid w:val="00A8021D"/>
    <w:rsid w:val="00A81AF3"/>
    <w:rsid w:val="00A91A95"/>
    <w:rsid w:val="00A93871"/>
    <w:rsid w:val="00AA2289"/>
    <w:rsid w:val="00AA24A8"/>
    <w:rsid w:val="00AA3E14"/>
    <w:rsid w:val="00AA6846"/>
    <w:rsid w:val="00AB081B"/>
    <w:rsid w:val="00AB1BE4"/>
    <w:rsid w:val="00AC3AD3"/>
    <w:rsid w:val="00AC4368"/>
    <w:rsid w:val="00AC5492"/>
    <w:rsid w:val="00AC5BC0"/>
    <w:rsid w:val="00AC6BBC"/>
    <w:rsid w:val="00AC6E36"/>
    <w:rsid w:val="00AD445B"/>
    <w:rsid w:val="00AD5FE6"/>
    <w:rsid w:val="00AD5FEE"/>
    <w:rsid w:val="00AE1633"/>
    <w:rsid w:val="00AE1B7D"/>
    <w:rsid w:val="00AE350E"/>
    <w:rsid w:val="00AF186C"/>
    <w:rsid w:val="00AF29DD"/>
    <w:rsid w:val="00B01E41"/>
    <w:rsid w:val="00B060F6"/>
    <w:rsid w:val="00B10921"/>
    <w:rsid w:val="00B13704"/>
    <w:rsid w:val="00B205C1"/>
    <w:rsid w:val="00B21804"/>
    <w:rsid w:val="00B21FCF"/>
    <w:rsid w:val="00B229F3"/>
    <w:rsid w:val="00B2360C"/>
    <w:rsid w:val="00B2429B"/>
    <w:rsid w:val="00B24AE5"/>
    <w:rsid w:val="00B25550"/>
    <w:rsid w:val="00B301AB"/>
    <w:rsid w:val="00B32552"/>
    <w:rsid w:val="00B34317"/>
    <w:rsid w:val="00B34601"/>
    <w:rsid w:val="00B402C3"/>
    <w:rsid w:val="00B461B9"/>
    <w:rsid w:val="00B5111F"/>
    <w:rsid w:val="00B54DE5"/>
    <w:rsid w:val="00B56D97"/>
    <w:rsid w:val="00B61401"/>
    <w:rsid w:val="00B63503"/>
    <w:rsid w:val="00B662B0"/>
    <w:rsid w:val="00B67D40"/>
    <w:rsid w:val="00B71B7C"/>
    <w:rsid w:val="00B75BDD"/>
    <w:rsid w:val="00B763B7"/>
    <w:rsid w:val="00B7653B"/>
    <w:rsid w:val="00B77F2B"/>
    <w:rsid w:val="00B815FC"/>
    <w:rsid w:val="00B93F28"/>
    <w:rsid w:val="00B96755"/>
    <w:rsid w:val="00BA22B1"/>
    <w:rsid w:val="00BA5482"/>
    <w:rsid w:val="00BA5543"/>
    <w:rsid w:val="00BB4136"/>
    <w:rsid w:val="00BB6783"/>
    <w:rsid w:val="00BB6DC8"/>
    <w:rsid w:val="00BC2C6E"/>
    <w:rsid w:val="00BC473E"/>
    <w:rsid w:val="00BC53CC"/>
    <w:rsid w:val="00BC54E3"/>
    <w:rsid w:val="00BC5A16"/>
    <w:rsid w:val="00BD0568"/>
    <w:rsid w:val="00BD0636"/>
    <w:rsid w:val="00BD2E2F"/>
    <w:rsid w:val="00BD4180"/>
    <w:rsid w:val="00BD4697"/>
    <w:rsid w:val="00BD74AA"/>
    <w:rsid w:val="00BE019F"/>
    <w:rsid w:val="00BE3E8E"/>
    <w:rsid w:val="00BF4FD2"/>
    <w:rsid w:val="00BF6B7A"/>
    <w:rsid w:val="00BF7AA5"/>
    <w:rsid w:val="00C049DB"/>
    <w:rsid w:val="00C052C2"/>
    <w:rsid w:val="00C0558D"/>
    <w:rsid w:val="00C07537"/>
    <w:rsid w:val="00C106A6"/>
    <w:rsid w:val="00C10CB9"/>
    <w:rsid w:val="00C10DA5"/>
    <w:rsid w:val="00C11725"/>
    <w:rsid w:val="00C12C27"/>
    <w:rsid w:val="00C146EC"/>
    <w:rsid w:val="00C20134"/>
    <w:rsid w:val="00C20D14"/>
    <w:rsid w:val="00C20F28"/>
    <w:rsid w:val="00C2239B"/>
    <w:rsid w:val="00C235E6"/>
    <w:rsid w:val="00C272D5"/>
    <w:rsid w:val="00C33382"/>
    <w:rsid w:val="00C339E0"/>
    <w:rsid w:val="00C35703"/>
    <w:rsid w:val="00C37124"/>
    <w:rsid w:val="00C37BD8"/>
    <w:rsid w:val="00C47F7C"/>
    <w:rsid w:val="00C54EA4"/>
    <w:rsid w:val="00C57569"/>
    <w:rsid w:val="00C61B95"/>
    <w:rsid w:val="00C644FE"/>
    <w:rsid w:val="00C65A66"/>
    <w:rsid w:val="00C73B65"/>
    <w:rsid w:val="00C834E0"/>
    <w:rsid w:val="00C85135"/>
    <w:rsid w:val="00C87AE2"/>
    <w:rsid w:val="00C9499C"/>
    <w:rsid w:val="00C97DB8"/>
    <w:rsid w:val="00CA3003"/>
    <w:rsid w:val="00CA3606"/>
    <w:rsid w:val="00CA574B"/>
    <w:rsid w:val="00CB33EC"/>
    <w:rsid w:val="00CC06BE"/>
    <w:rsid w:val="00CD109B"/>
    <w:rsid w:val="00CD2CB6"/>
    <w:rsid w:val="00CD32A0"/>
    <w:rsid w:val="00CD4361"/>
    <w:rsid w:val="00CD46D3"/>
    <w:rsid w:val="00CD4778"/>
    <w:rsid w:val="00CD78F3"/>
    <w:rsid w:val="00CE193B"/>
    <w:rsid w:val="00CE2C9E"/>
    <w:rsid w:val="00CE37F0"/>
    <w:rsid w:val="00CE4B84"/>
    <w:rsid w:val="00CE617B"/>
    <w:rsid w:val="00CE6B4A"/>
    <w:rsid w:val="00CF19AF"/>
    <w:rsid w:val="00CF3239"/>
    <w:rsid w:val="00CF32CD"/>
    <w:rsid w:val="00CF3363"/>
    <w:rsid w:val="00CF34A0"/>
    <w:rsid w:val="00CF5134"/>
    <w:rsid w:val="00D02351"/>
    <w:rsid w:val="00D04997"/>
    <w:rsid w:val="00D06019"/>
    <w:rsid w:val="00D07971"/>
    <w:rsid w:val="00D11293"/>
    <w:rsid w:val="00D11D26"/>
    <w:rsid w:val="00D13119"/>
    <w:rsid w:val="00D156BB"/>
    <w:rsid w:val="00D25A20"/>
    <w:rsid w:val="00D31D50"/>
    <w:rsid w:val="00D33E50"/>
    <w:rsid w:val="00D34619"/>
    <w:rsid w:val="00D3774B"/>
    <w:rsid w:val="00D42D57"/>
    <w:rsid w:val="00D449CF"/>
    <w:rsid w:val="00D455C4"/>
    <w:rsid w:val="00D522AE"/>
    <w:rsid w:val="00D5254F"/>
    <w:rsid w:val="00D55A61"/>
    <w:rsid w:val="00D566FD"/>
    <w:rsid w:val="00D5701F"/>
    <w:rsid w:val="00D57547"/>
    <w:rsid w:val="00D6288C"/>
    <w:rsid w:val="00D63DFD"/>
    <w:rsid w:val="00D63F9B"/>
    <w:rsid w:val="00D657BF"/>
    <w:rsid w:val="00D66AE7"/>
    <w:rsid w:val="00D67D38"/>
    <w:rsid w:val="00D71D77"/>
    <w:rsid w:val="00D72EEC"/>
    <w:rsid w:val="00D74776"/>
    <w:rsid w:val="00D7615A"/>
    <w:rsid w:val="00D80158"/>
    <w:rsid w:val="00D814A2"/>
    <w:rsid w:val="00D843A2"/>
    <w:rsid w:val="00D852A0"/>
    <w:rsid w:val="00D8621A"/>
    <w:rsid w:val="00D87F24"/>
    <w:rsid w:val="00D90682"/>
    <w:rsid w:val="00D97030"/>
    <w:rsid w:val="00DA19A8"/>
    <w:rsid w:val="00DA7EA3"/>
    <w:rsid w:val="00DB0BB6"/>
    <w:rsid w:val="00DB0BC5"/>
    <w:rsid w:val="00DB299E"/>
    <w:rsid w:val="00DB430B"/>
    <w:rsid w:val="00DB5A2A"/>
    <w:rsid w:val="00DC2F65"/>
    <w:rsid w:val="00DD3ED0"/>
    <w:rsid w:val="00DE4B05"/>
    <w:rsid w:val="00DE4E80"/>
    <w:rsid w:val="00DF3CD3"/>
    <w:rsid w:val="00DF44DF"/>
    <w:rsid w:val="00DF4DD3"/>
    <w:rsid w:val="00DF5470"/>
    <w:rsid w:val="00E041EB"/>
    <w:rsid w:val="00E05D25"/>
    <w:rsid w:val="00E06198"/>
    <w:rsid w:val="00E13AC2"/>
    <w:rsid w:val="00E16D6C"/>
    <w:rsid w:val="00E259C9"/>
    <w:rsid w:val="00E302AD"/>
    <w:rsid w:val="00E3037C"/>
    <w:rsid w:val="00E52400"/>
    <w:rsid w:val="00E641CD"/>
    <w:rsid w:val="00E64354"/>
    <w:rsid w:val="00E645AE"/>
    <w:rsid w:val="00E653C8"/>
    <w:rsid w:val="00E72C62"/>
    <w:rsid w:val="00E74876"/>
    <w:rsid w:val="00E75F9A"/>
    <w:rsid w:val="00E77DB9"/>
    <w:rsid w:val="00E821CF"/>
    <w:rsid w:val="00E831CA"/>
    <w:rsid w:val="00E87D19"/>
    <w:rsid w:val="00E94FB3"/>
    <w:rsid w:val="00E96A3C"/>
    <w:rsid w:val="00EA4961"/>
    <w:rsid w:val="00EA61FE"/>
    <w:rsid w:val="00EA6E95"/>
    <w:rsid w:val="00EB15F1"/>
    <w:rsid w:val="00EB4743"/>
    <w:rsid w:val="00EB5CC3"/>
    <w:rsid w:val="00EB73F0"/>
    <w:rsid w:val="00EC0665"/>
    <w:rsid w:val="00EC4112"/>
    <w:rsid w:val="00EC50A8"/>
    <w:rsid w:val="00ED1547"/>
    <w:rsid w:val="00ED465C"/>
    <w:rsid w:val="00ED6E78"/>
    <w:rsid w:val="00ED7B92"/>
    <w:rsid w:val="00EE2A59"/>
    <w:rsid w:val="00EE399B"/>
    <w:rsid w:val="00EE4545"/>
    <w:rsid w:val="00EE4DCC"/>
    <w:rsid w:val="00EF27C7"/>
    <w:rsid w:val="00F0368C"/>
    <w:rsid w:val="00F1022C"/>
    <w:rsid w:val="00F11076"/>
    <w:rsid w:val="00F2170B"/>
    <w:rsid w:val="00F21B5C"/>
    <w:rsid w:val="00F22276"/>
    <w:rsid w:val="00F26AD1"/>
    <w:rsid w:val="00F26F0A"/>
    <w:rsid w:val="00F321EE"/>
    <w:rsid w:val="00F37302"/>
    <w:rsid w:val="00F40260"/>
    <w:rsid w:val="00F41425"/>
    <w:rsid w:val="00F4731A"/>
    <w:rsid w:val="00F47FE1"/>
    <w:rsid w:val="00F52169"/>
    <w:rsid w:val="00F5219B"/>
    <w:rsid w:val="00F52DC4"/>
    <w:rsid w:val="00F62D94"/>
    <w:rsid w:val="00F656D1"/>
    <w:rsid w:val="00F660F5"/>
    <w:rsid w:val="00F71F6F"/>
    <w:rsid w:val="00F748FE"/>
    <w:rsid w:val="00F84C20"/>
    <w:rsid w:val="00F84DB8"/>
    <w:rsid w:val="00F90307"/>
    <w:rsid w:val="00F9154A"/>
    <w:rsid w:val="00F91ADA"/>
    <w:rsid w:val="00F91D9E"/>
    <w:rsid w:val="00F9448E"/>
    <w:rsid w:val="00FB40E0"/>
    <w:rsid w:val="00FB494A"/>
    <w:rsid w:val="00FB797B"/>
    <w:rsid w:val="00FC0C17"/>
    <w:rsid w:val="00FC79E3"/>
    <w:rsid w:val="00FD2003"/>
    <w:rsid w:val="00FE25C5"/>
    <w:rsid w:val="00FE2CF1"/>
    <w:rsid w:val="00FE38E8"/>
    <w:rsid w:val="00FE4675"/>
    <w:rsid w:val="00FF1895"/>
    <w:rsid w:val="00FF4AD7"/>
    <w:rsid w:val="00FF50D6"/>
    <w:rsid w:val="01564995"/>
    <w:rsid w:val="06F4717A"/>
    <w:rsid w:val="09636DE3"/>
    <w:rsid w:val="09A73E9B"/>
    <w:rsid w:val="0B6558C0"/>
    <w:rsid w:val="0BB52B60"/>
    <w:rsid w:val="0C180798"/>
    <w:rsid w:val="0E8F25E0"/>
    <w:rsid w:val="0F122D22"/>
    <w:rsid w:val="0F4C6376"/>
    <w:rsid w:val="0FBB33D1"/>
    <w:rsid w:val="12963262"/>
    <w:rsid w:val="12E732D3"/>
    <w:rsid w:val="13E13032"/>
    <w:rsid w:val="142D2812"/>
    <w:rsid w:val="15DA734A"/>
    <w:rsid w:val="1AE2691A"/>
    <w:rsid w:val="1AF044C1"/>
    <w:rsid w:val="1B8C2F55"/>
    <w:rsid w:val="1C390942"/>
    <w:rsid w:val="1DAD3AAA"/>
    <w:rsid w:val="1DC95DA3"/>
    <w:rsid w:val="1E441DC4"/>
    <w:rsid w:val="1F96322F"/>
    <w:rsid w:val="20855DFE"/>
    <w:rsid w:val="20AA2775"/>
    <w:rsid w:val="21481B16"/>
    <w:rsid w:val="21597EE7"/>
    <w:rsid w:val="22425874"/>
    <w:rsid w:val="229213FB"/>
    <w:rsid w:val="22D74C72"/>
    <w:rsid w:val="23D72CC5"/>
    <w:rsid w:val="255736FB"/>
    <w:rsid w:val="260D0026"/>
    <w:rsid w:val="26B1359A"/>
    <w:rsid w:val="271C1F19"/>
    <w:rsid w:val="27366CA1"/>
    <w:rsid w:val="27506B58"/>
    <w:rsid w:val="27D20B74"/>
    <w:rsid w:val="2A032F13"/>
    <w:rsid w:val="2A570389"/>
    <w:rsid w:val="2A6B59EA"/>
    <w:rsid w:val="2DE756D3"/>
    <w:rsid w:val="2F070AC5"/>
    <w:rsid w:val="2FCE76C6"/>
    <w:rsid w:val="30567728"/>
    <w:rsid w:val="31315B9F"/>
    <w:rsid w:val="3439451D"/>
    <w:rsid w:val="34DE1ABD"/>
    <w:rsid w:val="35083766"/>
    <w:rsid w:val="354B20A1"/>
    <w:rsid w:val="362D539C"/>
    <w:rsid w:val="362D68EC"/>
    <w:rsid w:val="365A76DD"/>
    <w:rsid w:val="369B434D"/>
    <w:rsid w:val="3A1420D7"/>
    <w:rsid w:val="3A2B4A28"/>
    <w:rsid w:val="3C2B590C"/>
    <w:rsid w:val="3CF135A9"/>
    <w:rsid w:val="41D1334A"/>
    <w:rsid w:val="4218007C"/>
    <w:rsid w:val="42F36340"/>
    <w:rsid w:val="43DB097C"/>
    <w:rsid w:val="440A3B27"/>
    <w:rsid w:val="441B42EB"/>
    <w:rsid w:val="44385F83"/>
    <w:rsid w:val="44E872A8"/>
    <w:rsid w:val="454977CF"/>
    <w:rsid w:val="45D025A1"/>
    <w:rsid w:val="4702443D"/>
    <w:rsid w:val="4803473B"/>
    <w:rsid w:val="482E4298"/>
    <w:rsid w:val="48460FC9"/>
    <w:rsid w:val="488B7E75"/>
    <w:rsid w:val="48FD2991"/>
    <w:rsid w:val="496C0B5A"/>
    <w:rsid w:val="49864024"/>
    <w:rsid w:val="4A7973CC"/>
    <w:rsid w:val="4C4249D5"/>
    <w:rsid w:val="4C6F7950"/>
    <w:rsid w:val="4D3C5F90"/>
    <w:rsid w:val="4D3E2E92"/>
    <w:rsid w:val="4D497D97"/>
    <w:rsid w:val="4E2B3D32"/>
    <w:rsid w:val="4ED73CEC"/>
    <w:rsid w:val="4EEA719B"/>
    <w:rsid w:val="4F29249D"/>
    <w:rsid w:val="4F49473C"/>
    <w:rsid w:val="4FC534DE"/>
    <w:rsid w:val="500B6507"/>
    <w:rsid w:val="500E1385"/>
    <w:rsid w:val="50BB49D3"/>
    <w:rsid w:val="52273FCE"/>
    <w:rsid w:val="522F1868"/>
    <w:rsid w:val="53454EB9"/>
    <w:rsid w:val="54030829"/>
    <w:rsid w:val="54D7702F"/>
    <w:rsid w:val="553849B5"/>
    <w:rsid w:val="57280E3E"/>
    <w:rsid w:val="58304F3B"/>
    <w:rsid w:val="5B0E44E3"/>
    <w:rsid w:val="5C934EC9"/>
    <w:rsid w:val="5D36409F"/>
    <w:rsid w:val="5DC92EA4"/>
    <w:rsid w:val="5E204C59"/>
    <w:rsid w:val="5FCB5246"/>
    <w:rsid w:val="61627777"/>
    <w:rsid w:val="6178126B"/>
    <w:rsid w:val="61F67C78"/>
    <w:rsid w:val="62182475"/>
    <w:rsid w:val="62CC3F12"/>
    <w:rsid w:val="64CA506C"/>
    <w:rsid w:val="65375DDA"/>
    <w:rsid w:val="65561C5C"/>
    <w:rsid w:val="67146104"/>
    <w:rsid w:val="67FC77A9"/>
    <w:rsid w:val="68563AB3"/>
    <w:rsid w:val="6AA57E39"/>
    <w:rsid w:val="6E796C4A"/>
    <w:rsid w:val="6F5B27FA"/>
    <w:rsid w:val="6FA768BC"/>
    <w:rsid w:val="70367D7B"/>
    <w:rsid w:val="71AD74DE"/>
    <w:rsid w:val="724D77BB"/>
    <w:rsid w:val="72F74D38"/>
    <w:rsid w:val="73EF0121"/>
    <w:rsid w:val="74575644"/>
    <w:rsid w:val="749515DB"/>
    <w:rsid w:val="77295CB1"/>
    <w:rsid w:val="7733165E"/>
    <w:rsid w:val="7765443F"/>
    <w:rsid w:val="77E0436F"/>
    <w:rsid w:val="796D3AD3"/>
    <w:rsid w:val="79B02AD4"/>
    <w:rsid w:val="7BD0125E"/>
    <w:rsid w:val="7BD96D38"/>
    <w:rsid w:val="7BFE6555"/>
    <w:rsid w:val="7DCD1314"/>
    <w:rsid w:val="7DD877C6"/>
    <w:rsid w:val="7F1E5B9E"/>
    <w:rsid w:val="7F54529C"/>
    <w:rsid w:val="7FCB6D9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3">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eastAsia="宋体" w:cs="Times New Roman"/>
    </w:rPr>
  </w:style>
  <w:style w:type="paragraph" w:styleId="5">
    <w:name w:val="toc 3"/>
    <w:basedOn w:val="1"/>
    <w:next w:val="1"/>
    <w:autoRedefine/>
    <w:semiHidden/>
    <w:unhideWhenUsed/>
    <w:qFormat/>
    <w:uiPriority w:val="39"/>
    <w:pPr>
      <w:adjustRightInd/>
      <w:snapToGrid/>
      <w:spacing w:after="100" w:line="276" w:lineRule="auto"/>
      <w:ind w:left="440"/>
    </w:pPr>
    <w:rPr>
      <w:rFonts w:asciiTheme="minorHAnsi" w:hAnsiTheme="minorHAnsi" w:eastAsiaTheme="minorEastAsia"/>
    </w:rPr>
  </w:style>
  <w:style w:type="paragraph" w:styleId="6">
    <w:name w:val="endnote text"/>
    <w:basedOn w:val="1"/>
    <w:link w:val="27"/>
    <w:semiHidden/>
    <w:unhideWhenUsed/>
    <w:qFormat/>
    <w:uiPriority w:val="99"/>
  </w:style>
  <w:style w:type="paragraph" w:styleId="7">
    <w:name w:val="Balloon Text"/>
    <w:basedOn w:val="1"/>
    <w:link w:val="22"/>
    <w:unhideWhenUsed/>
    <w:qFormat/>
    <w:uiPriority w:val="99"/>
    <w:pPr>
      <w:spacing w:after="0"/>
    </w:pPr>
    <w:rPr>
      <w:sz w:val="18"/>
      <w:szCs w:val="18"/>
    </w:rPr>
  </w:style>
  <w:style w:type="paragraph" w:styleId="8">
    <w:name w:val="footer"/>
    <w:basedOn w:val="1"/>
    <w:link w:val="20"/>
    <w:unhideWhenUsed/>
    <w:qFormat/>
    <w:uiPriority w:val="99"/>
    <w:pPr>
      <w:tabs>
        <w:tab w:val="center" w:pos="4153"/>
        <w:tab w:val="right" w:pos="8306"/>
      </w:tabs>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jc w:val="center"/>
    </w:pPr>
    <w:rPr>
      <w:sz w:val="18"/>
      <w:szCs w:val="18"/>
    </w:rPr>
  </w:style>
  <w:style w:type="paragraph" w:styleId="10">
    <w:name w:val="toc 1"/>
    <w:basedOn w:val="1"/>
    <w:next w:val="1"/>
    <w:autoRedefine/>
    <w:semiHidden/>
    <w:unhideWhenUsed/>
    <w:qFormat/>
    <w:uiPriority w:val="39"/>
    <w:pPr>
      <w:adjustRightInd/>
      <w:snapToGrid/>
      <w:spacing w:after="100" w:line="276" w:lineRule="auto"/>
    </w:pPr>
    <w:rPr>
      <w:rFonts w:asciiTheme="minorHAnsi" w:hAnsiTheme="minorHAnsi" w:eastAsiaTheme="minorEastAsia"/>
    </w:rPr>
  </w:style>
  <w:style w:type="paragraph" w:styleId="11">
    <w:name w:val="footnote text"/>
    <w:basedOn w:val="1"/>
    <w:link w:val="25"/>
    <w:semiHidden/>
    <w:unhideWhenUsed/>
    <w:qFormat/>
    <w:uiPriority w:val="99"/>
    <w:rPr>
      <w:sz w:val="18"/>
      <w:szCs w:val="18"/>
    </w:rPr>
  </w:style>
  <w:style w:type="paragraph" w:styleId="12">
    <w:name w:val="toc 2"/>
    <w:basedOn w:val="1"/>
    <w:next w:val="1"/>
    <w:unhideWhenUsed/>
    <w:qFormat/>
    <w:uiPriority w:val="39"/>
    <w:pPr>
      <w:ind w:left="420" w:leftChars="200"/>
    </w:pPr>
  </w:style>
  <w:style w:type="paragraph" w:styleId="13">
    <w:name w:val="Normal (Web)"/>
    <w:basedOn w:val="1"/>
    <w:unhideWhenUsed/>
    <w:qFormat/>
    <w:uiPriority w:val="99"/>
    <w:rPr>
      <w:rFonts w:ascii="Times New Roman" w:hAnsi="Times New Roman" w:cs="Times New Roman"/>
      <w:sz w:val="24"/>
      <w:szCs w:val="24"/>
    </w:rPr>
  </w:style>
  <w:style w:type="character" w:styleId="16">
    <w:name w:val="endnote reference"/>
    <w:basedOn w:val="15"/>
    <w:semiHidden/>
    <w:unhideWhenUsed/>
    <w:qFormat/>
    <w:uiPriority w:val="99"/>
    <w:rPr>
      <w:vertAlign w:val="superscript"/>
    </w:rPr>
  </w:style>
  <w:style w:type="character" w:styleId="17">
    <w:name w:val="Hyperlink"/>
    <w:basedOn w:val="15"/>
    <w:unhideWhenUsed/>
    <w:qFormat/>
    <w:uiPriority w:val="99"/>
    <w:rPr>
      <w:color w:val="0000FF" w:themeColor="hyperlink"/>
      <w:u w:val="single"/>
    </w:rPr>
  </w:style>
  <w:style w:type="character" w:styleId="18">
    <w:name w:val="footnote reference"/>
    <w:basedOn w:val="15"/>
    <w:semiHidden/>
    <w:unhideWhenUsed/>
    <w:qFormat/>
    <w:uiPriority w:val="99"/>
    <w:rPr>
      <w:vertAlign w:val="superscript"/>
    </w:rPr>
  </w:style>
  <w:style w:type="character" w:customStyle="1" w:styleId="19">
    <w:name w:val="页眉 Char"/>
    <w:basedOn w:val="15"/>
    <w:link w:val="9"/>
    <w:semiHidden/>
    <w:qFormat/>
    <w:uiPriority w:val="99"/>
    <w:rPr>
      <w:rFonts w:ascii="Tahoma" w:hAnsi="Tahoma"/>
      <w:sz w:val="18"/>
      <w:szCs w:val="18"/>
    </w:rPr>
  </w:style>
  <w:style w:type="character" w:customStyle="1" w:styleId="20">
    <w:name w:val="页脚 Char"/>
    <w:basedOn w:val="15"/>
    <w:link w:val="8"/>
    <w:qFormat/>
    <w:uiPriority w:val="99"/>
    <w:rPr>
      <w:rFonts w:ascii="Tahoma" w:hAnsi="Tahoma"/>
      <w:sz w:val="18"/>
      <w:szCs w:val="18"/>
    </w:rPr>
  </w:style>
  <w:style w:type="paragraph" w:customStyle="1" w:styleId="21">
    <w:name w:val="WPSOffice手动目录 1"/>
    <w:qFormat/>
    <w:uiPriority w:val="0"/>
    <w:rPr>
      <w:rFonts w:eastAsia="微软雅黑" w:asciiTheme="minorHAnsi" w:hAnsiTheme="minorHAnsi" w:cstheme="minorBidi"/>
      <w:lang w:val="en-US" w:eastAsia="zh-CN" w:bidi="ar-SA"/>
    </w:rPr>
  </w:style>
  <w:style w:type="character" w:customStyle="1" w:styleId="22">
    <w:name w:val="批注框文本 Char"/>
    <w:basedOn w:val="15"/>
    <w:link w:val="7"/>
    <w:semiHidden/>
    <w:qFormat/>
    <w:uiPriority w:val="99"/>
    <w:rPr>
      <w:rFonts w:ascii="Tahoma" w:hAnsi="Tahoma"/>
      <w:sz w:val="18"/>
      <w:szCs w:val="18"/>
    </w:rPr>
  </w:style>
  <w:style w:type="paragraph" w:customStyle="1" w:styleId="23">
    <w:name w:val="列出段落1"/>
    <w:basedOn w:val="1"/>
    <w:qFormat/>
    <w:uiPriority w:val="34"/>
    <w:pPr>
      <w:ind w:firstLine="420" w:firstLineChars="200"/>
    </w:pPr>
  </w:style>
  <w:style w:type="paragraph" w:styleId="24">
    <w:name w:val="List Paragraph"/>
    <w:basedOn w:val="1"/>
    <w:unhideWhenUsed/>
    <w:qFormat/>
    <w:uiPriority w:val="99"/>
    <w:pPr>
      <w:ind w:firstLine="420" w:firstLineChars="200"/>
    </w:pPr>
  </w:style>
  <w:style w:type="character" w:customStyle="1" w:styleId="25">
    <w:name w:val="脚注文本 Char"/>
    <w:basedOn w:val="15"/>
    <w:link w:val="11"/>
    <w:semiHidden/>
    <w:qFormat/>
    <w:uiPriority w:val="99"/>
    <w:rPr>
      <w:rFonts w:ascii="Tahoma" w:hAnsi="Tahoma"/>
      <w:sz w:val="18"/>
      <w:szCs w:val="18"/>
    </w:rPr>
  </w:style>
  <w:style w:type="character" w:customStyle="1" w:styleId="26">
    <w:name w:val="标题 2 Char"/>
    <w:basedOn w:val="15"/>
    <w:link w:val="4"/>
    <w:qFormat/>
    <w:uiPriority w:val="9"/>
    <w:rPr>
      <w:rFonts w:asciiTheme="majorHAnsi" w:hAnsiTheme="majorHAnsi" w:eastAsiaTheme="majorEastAsia" w:cstheme="majorBidi"/>
      <w:b/>
      <w:bCs/>
      <w:sz w:val="32"/>
      <w:szCs w:val="32"/>
    </w:rPr>
  </w:style>
  <w:style w:type="character" w:customStyle="1" w:styleId="27">
    <w:name w:val="尾注文本 Char"/>
    <w:basedOn w:val="15"/>
    <w:link w:val="6"/>
    <w:semiHidden/>
    <w:qFormat/>
    <w:uiPriority w:val="99"/>
    <w:rPr>
      <w:rFonts w:ascii="Tahoma" w:hAnsi="Tahoma" w:eastAsia="微软雅黑" w:cstheme="minorBidi"/>
      <w:sz w:val="22"/>
      <w:szCs w:val="22"/>
    </w:rPr>
  </w:style>
  <w:style w:type="character" w:customStyle="1" w:styleId="28">
    <w:name w:val="标题 1 Char"/>
    <w:basedOn w:val="15"/>
    <w:link w:val="3"/>
    <w:qFormat/>
    <w:uiPriority w:val="9"/>
    <w:rPr>
      <w:rFonts w:ascii="Tahoma" w:hAnsi="Tahoma" w:eastAsia="微软雅黑" w:cstheme="minorBidi"/>
      <w:b/>
      <w:bCs/>
      <w:kern w:val="44"/>
      <w:sz w:val="44"/>
      <w:szCs w:val="44"/>
    </w:rPr>
  </w:style>
  <w:style w:type="paragraph" w:customStyle="1" w:styleId="29">
    <w:name w:val="TOC Heading"/>
    <w:basedOn w:val="3"/>
    <w:next w:val="1"/>
    <w:semiHidden/>
    <w:unhideWhenUsed/>
    <w:qFormat/>
    <w:uiPriority w:val="39"/>
    <w:pPr>
      <w:adjustRightInd/>
      <w:snapToGrid/>
      <w:spacing w:before="480" w:after="0" w:line="276" w:lineRule="auto"/>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7619FB5-48A4-40DF-A21F-25161BFAA059}">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13</Pages>
  <Words>4575</Words>
  <Characters>4824</Characters>
  <Lines>41</Lines>
  <Paragraphs>11</Paragraphs>
  <TotalTime>1</TotalTime>
  <ScaleCrop>false</ScaleCrop>
  <LinksUpToDate>false</LinksUpToDate>
  <CharactersWithSpaces>4881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2023-08-09T08:56:00Z</dcterms:created>
  <dc:creator>Administrator</dc:creator>
  <cp:lastModifiedBy>晨曦初露</cp:lastModifiedBy>
  <cp:lastPrinted>2023-09-19T06:00:00Z</cp:lastPrinted>
  <dcterms:modified xsi:type="dcterms:W3CDTF">2024-07-04T07:51:15Z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FA657D528173482CB394B1F49C29E508_13</vt:lpwstr>
  </property>
</Properties>
</file>