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rPr>
          <w:rFonts w:hint="eastAsia" w:ascii="黑体" w:hAnsi="黑体" w:eastAsia="黑体"/>
          <w:sz w:val="32"/>
          <w:szCs w:val="32"/>
        </w:rPr>
      </w:pPr>
      <w:r>
        <w:rPr>
          <w:rFonts w:hint="eastAsia" w:ascii="黑体" w:hAnsi="黑体" w:eastAsia="黑体"/>
          <w:sz w:val="32"/>
          <w:szCs w:val="32"/>
        </w:rPr>
        <w:t>附件</w:t>
      </w:r>
    </w:p>
    <w:p>
      <w:pPr>
        <w:adjustRightInd w:val="0"/>
        <w:snapToGrid w:val="0"/>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天津市滨海新区“4•18”一般</w:t>
      </w:r>
    </w:p>
    <w:p>
      <w:pPr>
        <w:adjustRightInd w:val="0"/>
        <w:snapToGrid w:val="0"/>
        <w:jc w:val="center"/>
        <w:rPr>
          <w:rFonts w:ascii="方正小标宋简体" w:hAnsi="方正小标宋简体" w:eastAsia="方正小标宋简体" w:cs="方正小标宋简体"/>
          <w:bCs/>
          <w:kern w:val="0"/>
          <w:sz w:val="44"/>
          <w:szCs w:val="44"/>
        </w:rPr>
      </w:pPr>
      <w:r>
        <w:rPr>
          <w:rFonts w:hint="eastAsia" w:ascii="方正小标宋简体" w:hAnsi="仿宋_GB2312" w:eastAsia="方正小标宋简体" w:cs="仿宋_GB2312"/>
          <w:bCs/>
          <w:sz w:val="44"/>
          <w:szCs w:val="44"/>
        </w:rPr>
        <w:t>高处坠落事故</w:t>
      </w:r>
      <w:r>
        <w:rPr>
          <w:rFonts w:hint="eastAsia" w:ascii="方正小标宋简体" w:hAnsi="方正小标宋简体" w:eastAsia="方正小标宋简体" w:cs="方正小标宋简体"/>
          <w:bCs/>
          <w:kern w:val="0"/>
          <w:sz w:val="44"/>
          <w:szCs w:val="44"/>
        </w:rPr>
        <w:t>结案评估报告</w:t>
      </w:r>
    </w:p>
    <w:p>
      <w:pPr>
        <w:adjustRightInd w:val="0"/>
        <w:snapToGrid w:val="0"/>
        <w:spacing w:line="360" w:lineRule="auto"/>
        <w:ind w:firstLine="640" w:firstLineChars="200"/>
        <w:rPr>
          <w:rFonts w:ascii="仿宋_GB2312" w:hAnsi="仿宋_GB2312" w:eastAsia="仿宋_GB2312" w:cs="仿宋_GB2312"/>
          <w:kern w:val="0"/>
          <w:sz w:val="32"/>
          <w:szCs w:val="32"/>
        </w:rPr>
      </w:pP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2021年4月18日11时40分左右，河南省矿山起重机安装有限公司</w:t>
      </w:r>
      <w:r>
        <w:rPr>
          <w:rFonts w:hint="eastAsia" w:ascii="仿宋_GB2312" w:hAnsi="仿宋" w:eastAsia="仿宋_GB2312"/>
          <w:sz w:val="32"/>
          <w:szCs w:val="32"/>
          <w:lang w:eastAsia="zh-CN"/>
        </w:rPr>
        <w:t>（以下简称“河南矿山”）</w:t>
      </w:r>
      <w:r>
        <w:rPr>
          <w:rFonts w:hint="eastAsia" w:ascii="仿宋_GB2312" w:hAnsi="仿宋" w:eastAsia="仿宋_GB2312"/>
          <w:sz w:val="32"/>
          <w:szCs w:val="32"/>
        </w:rPr>
        <w:t>员工程超强，在为坐落于滨海新区中塘镇薛卫台村的广和基业(天津)有限公司安装起重机械过程中，从高处坠落受伤送医，4月18日23时许经医院抢救无效死亡,</w:t>
      </w:r>
      <w:r>
        <w:rPr>
          <w:rFonts w:hint="eastAsia" w:ascii="仿宋_GB2312" w:hAnsi="仿宋_GB2312" w:eastAsia="仿宋_GB2312" w:cs="仿宋_GB2312"/>
          <w:sz w:val="32"/>
          <w:szCs w:val="32"/>
        </w:rPr>
        <w:t>直接经济损失155万元人民币。</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中华人民共和国安全生产法》《中华人民共和国特种设备安全法》《特种设备安全监察条例》《特种设备事故报告和调查处理导则》等有关法律、法规规定，经报请滨海新区人民政府批准，成立了由区市场监管局、区应急管理局、区公安局、区总工会等部门组成的天津市滨海新区“4•18”一般高处坠落事故调查组</w:t>
      </w:r>
      <w:r>
        <w:rPr>
          <w:rFonts w:hint="eastAsia" w:ascii="仿宋_GB2312" w:hAnsi="仿宋_GB2312" w:eastAsia="仿宋_GB2312" w:cs="仿宋_GB2312"/>
          <w:bCs/>
          <w:kern w:val="0"/>
          <w:sz w:val="32"/>
          <w:szCs w:val="32"/>
        </w:rPr>
        <w:t>，组织开展事故调查工作，</w:t>
      </w:r>
      <w:r>
        <w:rPr>
          <w:rFonts w:hint="eastAsia" w:ascii="仿宋_GB2312" w:hAnsi="宋体" w:eastAsia="仿宋_GB2312" w:cs="宋体"/>
          <w:kern w:val="0"/>
          <w:sz w:val="32"/>
          <w:szCs w:val="32"/>
        </w:rPr>
        <w:t>并向区政府提交了</w:t>
      </w:r>
      <w:r>
        <w:rPr>
          <w:rFonts w:hint="eastAsia" w:ascii="仿宋_GB2312" w:hAnsi="宋体" w:eastAsia="仿宋_GB2312" w:cs="宋体"/>
          <w:kern w:val="0"/>
          <w:sz w:val="32"/>
          <w:szCs w:val="32"/>
          <w:lang w:eastAsia="zh-CN"/>
        </w:rPr>
        <w:t>《天津市滨海新区“4•18”一般高处坠落事故调查报告》（以下简称“《事故调查报告》”）</w:t>
      </w:r>
      <w:r>
        <w:rPr>
          <w:rFonts w:hint="eastAsia" w:ascii="仿宋_GB2312" w:hAnsi="仿宋_GB2312" w:eastAsia="仿宋_GB2312" w:cs="仿宋_GB2312"/>
          <w:bCs/>
          <w:kern w:val="0"/>
          <w:sz w:val="32"/>
          <w:szCs w:val="32"/>
        </w:rPr>
        <w:t>。2021年</w:t>
      </w: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21</w:t>
      </w:r>
      <w:r>
        <w:rPr>
          <w:rFonts w:hint="eastAsia" w:ascii="仿宋_GB2312" w:hAnsi="仿宋_GB2312" w:eastAsia="仿宋_GB2312" w:cs="仿宋_GB2312"/>
          <w:bCs/>
          <w:kern w:val="0"/>
          <w:sz w:val="32"/>
          <w:szCs w:val="32"/>
        </w:rPr>
        <w:t>日，</w:t>
      </w:r>
      <w:r>
        <w:rPr>
          <w:rFonts w:hint="eastAsia" w:ascii="仿宋_GB2312" w:hAnsi="宋体" w:eastAsia="仿宋_GB2312" w:cs="宋体"/>
          <w:kern w:val="0"/>
          <w:sz w:val="32"/>
          <w:szCs w:val="32"/>
        </w:rPr>
        <w:t>区政府批复同意了</w:t>
      </w:r>
      <w:r>
        <w:rPr>
          <w:rFonts w:hint="eastAsia" w:ascii="仿宋_GB2312" w:hAnsi="宋体" w:eastAsia="仿宋_GB2312" w:cs="宋体"/>
          <w:kern w:val="0"/>
          <w:sz w:val="32"/>
          <w:szCs w:val="32"/>
          <w:lang w:eastAsia="zh-CN"/>
        </w:rPr>
        <w:t>《事故调查报告》</w:t>
      </w:r>
      <w:r>
        <w:rPr>
          <w:rFonts w:hint="eastAsia" w:ascii="仿宋_GB2312" w:hAnsi="仿宋_GB2312" w:eastAsia="仿宋_GB2312" w:cs="仿宋_GB2312"/>
          <w:bCs/>
          <w:kern w:val="0"/>
          <w:sz w:val="32"/>
          <w:szCs w:val="32"/>
        </w:rPr>
        <w:t>。</w:t>
      </w:r>
    </w:p>
    <w:p>
      <w:pPr>
        <w:spacing w:line="620" w:lineRule="exact"/>
        <w:ind w:firstLine="640" w:firstLineChars="200"/>
        <w:jc w:val="left"/>
        <w:rPr>
          <w:rFonts w:ascii="仿宋_GB2312" w:hAnsi="仿宋_GB2312" w:eastAsia="仿宋_GB2312" w:cs="仿宋_GB2312"/>
          <w:bCs/>
          <w:kern w:val="0"/>
          <w:sz w:val="32"/>
          <w:szCs w:val="32"/>
        </w:rPr>
      </w:pPr>
      <w:r>
        <w:rPr>
          <w:rFonts w:hint="eastAsia" w:ascii="仿宋_GB2312" w:eastAsia="仿宋_GB2312"/>
          <w:sz w:val="32"/>
          <w:szCs w:val="32"/>
        </w:rPr>
        <w:t>依据</w:t>
      </w:r>
      <w:r>
        <w:rPr>
          <w:rFonts w:hint="eastAsia" w:ascii="仿宋_GB2312" w:eastAsia="仿宋_GB2312"/>
          <w:sz w:val="32"/>
        </w:rPr>
        <w:t>《国务院办公室关于印发生产安全事故防范和整改措施落实情况评估办法的通知》（安委办〔2021〕4号)</w:t>
      </w:r>
      <w:r>
        <w:rPr>
          <w:rFonts w:hint="eastAsia" w:ascii="仿宋_GB2312" w:hAnsi="仿宋_GB2312" w:eastAsia="仿宋_GB2312" w:cs="仿宋_GB2312"/>
          <w:bCs/>
          <w:kern w:val="0"/>
          <w:sz w:val="32"/>
          <w:szCs w:val="32"/>
        </w:rPr>
        <w:t>及</w:t>
      </w:r>
      <w:r>
        <w:rPr>
          <w:rFonts w:hint="eastAsia" w:ascii="仿宋_GB2312" w:eastAsia="仿宋_GB2312"/>
          <w:sz w:val="32"/>
          <w:szCs w:val="32"/>
        </w:rPr>
        <w:t>《</w:t>
      </w:r>
      <w:r>
        <w:rPr>
          <w:rFonts w:hint="eastAsia" w:ascii="仿宋_GB2312" w:eastAsia="仿宋_GB2312"/>
          <w:sz w:val="32"/>
          <w:szCs w:val="32"/>
          <w:lang w:eastAsia="zh-CN"/>
        </w:rPr>
        <w:t>天津市生产安全事故防范和整改措施情况评估办法</w:t>
      </w:r>
      <w:r>
        <w:rPr>
          <w:rFonts w:hint="eastAsia" w:ascii="仿宋_GB2312" w:eastAsia="仿宋_GB2312"/>
          <w:sz w:val="32"/>
          <w:szCs w:val="32"/>
        </w:rPr>
        <w:t>》（</w:t>
      </w:r>
      <w:r>
        <w:rPr>
          <w:rFonts w:hint="eastAsia" w:ascii="仿宋_GB2312" w:eastAsia="仿宋_GB2312"/>
          <w:sz w:val="32"/>
          <w:szCs w:val="32"/>
          <w:lang w:eastAsia="zh-CN"/>
        </w:rPr>
        <w:t>津</w:t>
      </w:r>
      <w:r>
        <w:rPr>
          <w:rFonts w:hint="eastAsia" w:ascii="仿宋_GB2312" w:eastAsia="仿宋_GB2312"/>
          <w:sz w:val="32"/>
          <w:szCs w:val="32"/>
        </w:rPr>
        <w:t>安办[202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20</w:t>
      </w:r>
      <w:r>
        <w:rPr>
          <w:rFonts w:hint="eastAsia" w:ascii="仿宋_GB2312" w:eastAsia="仿宋_GB2312"/>
          <w:sz w:val="32"/>
          <w:szCs w:val="32"/>
        </w:rPr>
        <w:t>号）</w:t>
      </w:r>
      <w:r>
        <w:rPr>
          <w:rFonts w:hint="eastAsia" w:ascii="仿宋_GB2312" w:hAnsi="仿宋_GB2312" w:eastAsia="仿宋_GB2312" w:cs="仿宋_GB2312"/>
          <w:bCs/>
          <w:kern w:val="0"/>
          <w:sz w:val="32"/>
          <w:szCs w:val="32"/>
        </w:rPr>
        <w:t>等关于事故结案评估的有关规定,区市场监管局</w:t>
      </w:r>
      <w:r>
        <w:rPr>
          <w:rFonts w:hint="eastAsia" w:ascii="仿宋_GB2312" w:hAnsi="仿宋_GB2312" w:eastAsia="仿宋_GB2312" w:cs="仿宋_GB2312"/>
          <w:bCs/>
          <w:kern w:val="0"/>
          <w:sz w:val="32"/>
          <w:szCs w:val="32"/>
          <w:lang w:eastAsia="zh-CN"/>
        </w:rPr>
        <w:t>牵头</w:t>
      </w:r>
      <w:r>
        <w:rPr>
          <w:rFonts w:hint="eastAsia" w:ascii="仿宋_GB2312" w:hAnsi="仿宋_GB2312" w:eastAsia="仿宋_GB2312" w:cs="仿宋_GB2312"/>
          <w:bCs/>
          <w:kern w:val="0"/>
          <w:sz w:val="32"/>
          <w:szCs w:val="32"/>
        </w:rPr>
        <w:t>成立了</w:t>
      </w:r>
      <w:r>
        <w:rPr>
          <w:rFonts w:hint="eastAsia" w:ascii="仿宋_GB2312" w:hAnsi="仿宋_GB2312" w:eastAsia="仿宋_GB2312" w:cs="仿宋_GB2312"/>
          <w:kern w:val="0"/>
          <w:sz w:val="32"/>
          <w:szCs w:val="32"/>
        </w:rPr>
        <w:t>天津市滨海新区“4•18”一般高处坠落事故</w:t>
      </w:r>
      <w:r>
        <w:rPr>
          <w:rFonts w:hint="eastAsia" w:ascii="仿宋_GB2312" w:hAnsi="仿宋_GB2312" w:eastAsia="仿宋_GB2312" w:cs="仿宋_GB2312"/>
          <w:bCs/>
          <w:kern w:val="0"/>
          <w:sz w:val="32"/>
          <w:szCs w:val="32"/>
        </w:rPr>
        <w:t>结案评估组,对事故责任单位、责任人责任追究落实情况、整改措施落实</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情况进行了评估。</w:t>
      </w:r>
    </w:p>
    <w:p>
      <w:pPr>
        <w:spacing w:line="620" w:lineRule="exact"/>
        <w:ind w:firstLine="643" w:firstLineChars="200"/>
        <w:rPr>
          <w:rFonts w:ascii="黑体" w:hAnsi="黑体" w:eastAsia="黑体" w:cs="仿宋_GB2312"/>
          <w:b/>
          <w:bCs/>
          <w:sz w:val="32"/>
          <w:szCs w:val="24"/>
        </w:rPr>
      </w:pPr>
      <w:r>
        <w:rPr>
          <w:rFonts w:hint="eastAsia" w:ascii="黑体" w:hAnsi="黑体" w:eastAsia="黑体" w:cs="仿宋_GB2312"/>
          <w:b/>
          <w:bCs/>
          <w:sz w:val="32"/>
          <w:szCs w:val="24"/>
        </w:rPr>
        <w:t>一、事故责任单位</w:t>
      </w:r>
      <w:r>
        <w:rPr>
          <w:rFonts w:hint="eastAsia" w:ascii="黑体" w:hAnsi="黑体" w:eastAsia="黑体" w:cs="仿宋_GB2312"/>
          <w:b/>
          <w:bCs/>
          <w:sz w:val="32"/>
          <w:szCs w:val="24"/>
          <w:lang w:eastAsia="zh-CN"/>
        </w:rPr>
        <w:t>责任</w:t>
      </w:r>
      <w:r>
        <w:rPr>
          <w:rFonts w:hint="eastAsia" w:ascii="黑体" w:hAnsi="黑体" w:eastAsia="黑体" w:cs="仿宋_GB2312"/>
          <w:b/>
          <w:bCs/>
          <w:sz w:val="32"/>
          <w:szCs w:val="24"/>
        </w:rPr>
        <w:t>追究落实情况</w:t>
      </w:r>
    </w:p>
    <w:p>
      <w:pPr>
        <w:spacing w:line="620" w:lineRule="exact"/>
        <w:ind w:firstLine="640" w:firstLineChars="200"/>
        <w:rPr>
          <w:rFonts w:ascii="仿宋_GB2312" w:hAnsi="仿宋_GB2312" w:eastAsia="仿宋_GB2312" w:cs="仿宋_GB2312"/>
          <w:b/>
          <w:bCs/>
          <w:sz w:val="32"/>
          <w:szCs w:val="24"/>
        </w:rPr>
      </w:pPr>
      <w:r>
        <w:rPr>
          <w:rFonts w:hint="eastAsia" w:ascii="仿宋_GB2312" w:hAnsi="仿宋_GB2312" w:eastAsia="仿宋_GB2312" w:cs="仿宋_GB2312"/>
          <w:sz w:val="32"/>
          <w:szCs w:val="24"/>
        </w:rPr>
        <w:t>(一)《事故调查报告》建议天津市滨海新区市场监督管理局依据《中华人民共和国特种设备安全法》</w:t>
      </w:r>
      <w:r>
        <w:rPr>
          <w:rFonts w:hint="eastAsia" w:ascii="仿宋_GB2312" w:hAnsi="仿宋_GB2312" w:eastAsia="仿宋_GB2312" w:cs="仿宋_GB2312"/>
          <w:sz w:val="32"/>
          <w:szCs w:val="32"/>
        </w:rPr>
        <w:t>第八十九条第（二）项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4"/>
        </w:rPr>
        <w:t>第九十条第（一）项之规定，</w:t>
      </w:r>
      <w:r>
        <w:rPr>
          <w:rFonts w:hint="eastAsia" w:ascii="仿宋_GB2312" w:hAnsi="仿宋_GB2312" w:eastAsia="仿宋_GB2312" w:cs="仿宋_GB2312"/>
          <w:b/>
          <w:bCs/>
          <w:sz w:val="32"/>
          <w:szCs w:val="24"/>
        </w:rPr>
        <w:t>对</w:t>
      </w:r>
      <w:r>
        <w:rPr>
          <w:rFonts w:hint="eastAsia" w:ascii="仿宋_GB2312" w:hAnsi="仿宋_GB2312" w:eastAsia="仿宋_GB2312" w:cs="仿宋_GB2312"/>
          <w:b/>
          <w:bCs/>
          <w:sz w:val="32"/>
          <w:szCs w:val="24"/>
          <w:lang w:eastAsia="zh-CN"/>
        </w:rPr>
        <w:t>河南矿山</w:t>
      </w:r>
      <w:r>
        <w:rPr>
          <w:rFonts w:hint="eastAsia" w:ascii="仿宋_GB2312" w:hAnsi="仿宋_GB2312" w:eastAsia="仿宋_GB2312" w:cs="仿宋_GB2312"/>
          <w:b/>
          <w:bCs/>
          <w:sz w:val="32"/>
          <w:szCs w:val="24"/>
        </w:rPr>
        <w:t>进行行政处罚。</w:t>
      </w:r>
    </w:p>
    <w:p>
      <w:pPr>
        <w:spacing w:line="620" w:lineRule="exact"/>
        <w:ind w:firstLine="643" w:firstLineChars="200"/>
        <w:rPr>
          <w:rFonts w:hint="eastAsia" w:ascii="仿宋_GB2312" w:hAnsi="仿宋_GB2312" w:eastAsia="仿宋_GB2312" w:cs="仿宋_GB2312"/>
          <w:sz w:val="32"/>
          <w:szCs w:val="24"/>
        </w:rPr>
      </w:pPr>
      <w:r>
        <w:rPr>
          <w:rFonts w:hint="eastAsia" w:ascii="仿宋_GB2312" w:hAnsi="仿宋_GB2312" w:eastAsia="仿宋_GB2312" w:cs="仿宋_GB2312"/>
          <w:b/>
          <w:bCs/>
          <w:sz w:val="32"/>
          <w:szCs w:val="24"/>
        </w:rPr>
        <w:t>评估情况:</w:t>
      </w:r>
      <w:r>
        <w:rPr>
          <w:rFonts w:hint="eastAsia" w:ascii="仿宋_GB2312" w:hAnsi="仿宋_GB2312" w:eastAsia="仿宋_GB2312" w:cs="仿宋_GB2312"/>
          <w:sz w:val="32"/>
          <w:szCs w:val="24"/>
        </w:rPr>
        <w:t>区市场监管局已依据《中华人民共和国特种设备安全法》的相关规定,对</w:t>
      </w:r>
      <w:r>
        <w:rPr>
          <w:rFonts w:hint="eastAsia" w:ascii="仿宋_GB2312" w:hAnsi="仿宋" w:eastAsia="仿宋_GB2312"/>
          <w:sz w:val="32"/>
          <w:szCs w:val="32"/>
          <w:lang w:eastAsia="zh-CN"/>
        </w:rPr>
        <w:t>河南矿山</w:t>
      </w:r>
      <w:r>
        <w:rPr>
          <w:rFonts w:hint="eastAsia" w:ascii="仿宋_GB2312" w:hAnsi="仿宋_GB2312" w:eastAsia="仿宋_GB2312" w:cs="仿宋_GB2312"/>
          <w:sz w:val="32"/>
          <w:szCs w:val="24"/>
        </w:rPr>
        <w:t>处以</w:t>
      </w:r>
      <w:r>
        <w:rPr>
          <w:rFonts w:hint="eastAsia" w:ascii="仿宋_GB2312" w:hAnsi="仿宋_GB2312" w:eastAsia="仿宋_GB2312" w:cs="仿宋_GB2312"/>
          <w:sz w:val="32"/>
          <w:szCs w:val="24"/>
          <w:lang w:eastAsia="zh-CN"/>
        </w:rPr>
        <w:t>四</w:t>
      </w:r>
      <w:r>
        <w:rPr>
          <w:rFonts w:hint="eastAsia" w:ascii="仿宋_GB2312" w:hAnsi="仿宋_GB2312" w:eastAsia="仿宋_GB2312" w:cs="仿宋_GB2312"/>
          <w:sz w:val="32"/>
          <w:szCs w:val="24"/>
        </w:rPr>
        <w:t>十万元人民币的罚款,上述处罚已下达行政处罚决定书,罚款全部执行完毕。</w:t>
      </w:r>
    </w:p>
    <w:p>
      <w:pPr>
        <w:pStyle w:val="2"/>
        <w:ind w:left="0" w:leftChars="0" w:firstLine="0" w:firstLineChars="0"/>
        <w:rPr>
          <w:rFonts w:hint="eastAsia" w:ascii="仿宋_GB2312" w:hAnsi="仿宋" w:eastAsia="仿宋_GB2312"/>
          <w:sz w:val="32"/>
          <w:szCs w:val="32"/>
          <w:lang w:eastAsia="zh-CN"/>
        </w:rPr>
      </w:pPr>
      <w:r>
        <w:rPr>
          <w:rFonts w:hint="eastAsia" w:eastAsia="仿宋_GB2312"/>
          <w:lang w:val="en-US" w:eastAsia="zh-CN"/>
        </w:rPr>
        <w:t xml:space="preserve"> </w:t>
      </w:r>
      <w:r>
        <w:rPr>
          <w:rFonts w:hint="eastAsia" w:ascii="仿宋_GB2312" w:hAnsi="仿宋_GB2312" w:eastAsia="仿宋_GB2312" w:cs="仿宋_GB2312"/>
          <w:kern w:val="2"/>
          <w:sz w:val="32"/>
          <w:szCs w:val="24"/>
          <w:lang w:val="en-US" w:eastAsia="zh-CN" w:bidi="ar-SA"/>
        </w:rPr>
        <w:t xml:space="preserve">    </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eastAsia="zh-CN"/>
        </w:rPr>
        <w:t>二</w:t>
      </w:r>
      <w:r>
        <w:rPr>
          <w:rFonts w:hint="eastAsia" w:ascii="仿宋_GB2312" w:hAnsi="仿宋_GB2312" w:eastAsia="仿宋_GB2312" w:cs="仿宋_GB2312"/>
          <w:sz w:val="32"/>
          <w:szCs w:val="24"/>
        </w:rPr>
        <w:t>)《事故调查报告》建议天津市滨海新区市场监督管理局</w:t>
      </w:r>
      <w:r>
        <w:rPr>
          <w:rFonts w:hint="eastAsia" w:ascii="仿宋_GB2312" w:hAnsi="仿宋_GB2312" w:eastAsia="仿宋_GB2312" w:cs="仿宋_GB2312"/>
          <w:b/>
          <w:bCs/>
          <w:sz w:val="32"/>
          <w:szCs w:val="24"/>
          <w:lang w:eastAsia="zh-CN"/>
        </w:rPr>
        <w:t>对</w:t>
      </w:r>
      <w:r>
        <w:rPr>
          <w:rFonts w:hint="eastAsia" w:ascii="仿宋_GB2312" w:hAnsi="仿宋" w:eastAsia="仿宋_GB2312"/>
          <w:b/>
          <w:bCs/>
          <w:sz w:val="32"/>
          <w:szCs w:val="32"/>
        </w:rPr>
        <w:t>广和基业(天津)有限公司</w:t>
      </w:r>
      <w:r>
        <w:rPr>
          <w:rFonts w:hint="eastAsia" w:ascii="仿宋_GB2312" w:hAnsi="仿宋" w:eastAsia="仿宋_GB2312"/>
          <w:b/>
          <w:bCs/>
          <w:sz w:val="32"/>
          <w:szCs w:val="32"/>
          <w:lang w:eastAsia="zh-CN"/>
        </w:rPr>
        <w:t>进行约谈</w:t>
      </w:r>
      <w:r>
        <w:rPr>
          <w:rFonts w:hint="eastAsia" w:ascii="仿宋_GB2312" w:hAnsi="仿宋" w:eastAsia="仿宋_GB2312"/>
          <w:sz w:val="32"/>
          <w:szCs w:val="32"/>
          <w:lang w:eastAsia="zh-CN"/>
        </w:rPr>
        <w:t>。</w:t>
      </w:r>
    </w:p>
    <w:p>
      <w:pPr>
        <w:pStyle w:val="2"/>
        <w:ind w:left="0" w:leftChars="0" w:firstLine="0" w:firstLineChars="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_GB2312" w:eastAsia="仿宋_GB2312" w:cs="仿宋_GB2312"/>
          <w:b/>
          <w:bCs/>
          <w:sz w:val="32"/>
          <w:szCs w:val="24"/>
        </w:rPr>
        <w:t>评估情况:</w:t>
      </w:r>
      <w:r>
        <w:rPr>
          <w:rFonts w:hint="eastAsia" w:ascii="仿宋_GB2312" w:hAnsi="仿宋_GB2312" w:eastAsia="仿宋_GB2312" w:cs="仿宋_GB2312"/>
          <w:sz w:val="32"/>
          <w:szCs w:val="24"/>
        </w:rPr>
        <w:t>区市场监管局已</w:t>
      </w:r>
      <w:r>
        <w:rPr>
          <w:rFonts w:hint="eastAsia" w:ascii="仿宋_GB2312" w:hAnsi="仿宋_GB2312" w:eastAsia="仿宋_GB2312" w:cs="仿宋_GB2312"/>
          <w:sz w:val="32"/>
          <w:szCs w:val="24"/>
          <w:lang w:eastAsia="zh-CN"/>
        </w:rPr>
        <w:t>按要求对广和基业(天津)有限公司进行了约谈，要求其加强</w:t>
      </w:r>
      <w:r>
        <w:rPr>
          <w:rFonts w:hint="eastAsia" w:ascii="仿宋_GB2312" w:hAnsi="仿宋_GB2312" w:eastAsia="仿宋_GB2312" w:cs="仿宋_GB2312"/>
          <w:bCs/>
          <w:sz w:val="32"/>
          <w:szCs w:val="32"/>
        </w:rPr>
        <w:t>对承包单位安全生产工作的统一协调、管理，及时排查治理生产安全隐患</w:t>
      </w:r>
      <w:r>
        <w:rPr>
          <w:rFonts w:hint="eastAsia" w:ascii="仿宋_GB2312" w:hAnsi="仿宋_GB2312" w:eastAsia="仿宋_GB2312" w:cs="仿宋_GB2312"/>
          <w:sz w:val="32"/>
          <w:szCs w:val="24"/>
        </w:rPr>
        <w:t>。</w:t>
      </w:r>
    </w:p>
    <w:p>
      <w:pPr>
        <w:spacing w:line="620" w:lineRule="exact"/>
        <w:ind w:firstLine="640" w:firstLineChars="200"/>
        <w:rPr>
          <w:rFonts w:ascii="黑体" w:hAnsi="黑体" w:eastAsia="黑体" w:cs="黑体"/>
          <w:b/>
          <w:bCs/>
          <w:sz w:val="32"/>
          <w:szCs w:val="24"/>
        </w:rPr>
      </w:pPr>
      <w:r>
        <w:rPr>
          <w:rFonts w:hint="eastAsia" w:ascii="仿宋_GB2312" w:hAnsi="仿宋" w:eastAsia="仿宋_GB2312"/>
          <w:sz w:val="32"/>
          <w:szCs w:val="32"/>
          <w:lang w:val="en-US" w:eastAsia="zh-CN"/>
        </w:rPr>
        <w:t xml:space="preserve"> </w:t>
      </w:r>
      <w:r>
        <w:rPr>
          <w:rFonts w:hint="eastAsia" w:ascii="黑体" w:hAnsi="黑体" w:eastAsia="黑体" w:cs="黑体"/>
          <w:b/>
          <w:bCs/>
          <w:sz w:val="32"/>
          <w:szCs w:val="24"/>
        </w:rPr>
        <w:t>二、事故责任人</w:t>
      </w:r>
      <w:r>
        <w:rPr>
          <w:rFonts w:hint="eastAsia" w:ascii="黑体" w:hAnsi="黑体" w:eastAsia="黑体" w:cs="黑体"/>
          <w:b/>
          <w:bCs/>
          <w:sz w:val="32"/>
          <w:szCs w:val="24"/>
          <w:lang w:eastAsia="zh-CN"/>
        </w:rPr>
        <w:t>责任</w:t>
      </w:r>
      <w:r>
        <w:rPr>
          <w:rFonts w:hint="eastAsia" w:ascii="黑体" w:hAnsi="黑体" w:eastAsia="黑体" w:cs="黑体"/>
          <w:b/>
          <w:bCs/>
          <w:sz w:val="32"/>
          <w:szCs w:val="24"/>
        </w:rPr>
        <w:t>追究落实情况</w:t>
      </w:r>
    </w:p>
    <w:p>
      <w:pPr>
        <w:widowControl w:val="0"/>
        <w:spacing w:after="0" w:line="360" w:lineRule="auto"/>
        <w:ind w:firstLine="640" w:firstLineChars="200"/>
        <w:rPr>
          <w:rFonts w:ascii="楷体_GB2312" w:hAnsi="仿宋_GB2312" w:eastAsia="楷体_GB2312" w:cs="仿宋_GB2312"/>
          <w:sz w:val="32"/>
          <w:szCs w:val="24"/>
        </w:rPr>
      </w:pPr>
      <w:r>
        <w:rPr>
          <w:rFonts w:hint="eastAsia" w:ascii="楷体_GB2312" w:hAnsi="仿宋_GB2312" w:eastAsia="楷体_GB2312" w:cs="仿宋_GB2312"/>
          <w:sz w:val="32"/>
          <w:szCs w:val="24"/>
        </w:rPr>
        <w:t>(一)</w:t>
      </w:r>
      <w:r>
        <w:rPr>
          <w:rFonts w:hint="eastAsia" w:ascii="仿宋_GB2312" w:hAnsi="仿宋_GB2312" w:eastAsia="仿宋_GB2312" w:cs="仿宋_GB2312"/>
          <w:b/>
          <w:bCs/>
          <w:sz w:val="32"/>
          <w:szCs w:val="32"/>
        </w:rPr>
        <w:t>胡胜超</w:t>
      </w:r>
    </w:p>
    <w:p>
      <w:pPr>
        <w:spacing w:line="62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《事故调查报告》建议由天津市滨海新区市场监督管理局依据《中华人民共和国特种设备安全法》</w:t>
      </w:r>
      <w:r>
        <w:rPr>
          <w:rFonts w:hint="eastAsia" w:ascii="仿宋_GB2312" w:hAnsi="仿宋_GB2312" w:eastAsia="仿宋_GB2312" w:cs="仿宋_GB2312"/>
          <w:sz w:val="32"/>
          <w:szCs w:val="32"/>
        </w:rPr>
        <w:t>第八十九条第（二）项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4"/>
        </w:rPr>
        <w:t>第九十一条第（一）项之规定，</w:t>
      </w:r>
      <w:r>
        <w:rPr>
          <w:rFonts w:hint="eastAsia" w:ascii="仿宋_GB2312" w:hAnsi="仿宋_GB2312" w:eastAsia="仿宋_GB2312" w:cs="仿宋_GB2312"/>
          <w:b/>
          <w:bCs/>
          <w:sz w:val="32"/>
          <w:szCs w:val="24"/>
        </w:rPr>
        <w:t>对</w:t>
      </w:r>
      <w:r>
        <w:rPr>
          <w:rFonts w:hint="eastAsia" w:ascii="仿宋_GB2312" w:hAnsi="仿宋_GB2312" w:eastAsia="仿宋_GB2312" w:cs="仿宋_GB2312"/>
          <w:b/>
          <w:bCs/>
          <w:sz w:val="32"/>
          <w:szCs w:val="24"/>
          <w:lang w:eastAsia="zh-CN"/>
        </w:rPr>
        <w:t>河南矿山</w:t>
      </w:r>
      <w:r>
        <w:rPr>
          <w:rFonts w:hint="eastAsia" w:ascii="仿宋_GB2312" w:hAnsi="仿宋_GB2312" w:eastAsia="仿宋_GB2312" w:cs="仿宋_GB2312"/>
          <w:b/>
          <w:bCs/>
          <w:sz w:val="32"/>
          <w:szCs w:val="24"/>
        </w:rPr>
        <w:t>主要负责人</w:t>
      </w:r>
      <w:r>
        <w:rPr>
          <w:rFonts w:hint="eastAsia" w:ascii="仿宋_GB2312" w:hAnsi="仿宋_GB2312" w:eastAsia="仿宋_GB2312" w:cs="仿宋_GB2312"/>
          <w:b/>
          <w:bCs/>
          <w:sz w:val="32"/>
          <w:szCs w:val="24"/>
          <w:lang w:eastAsia="zh-CN"/>
        </w:rPr>
        <w:t>胡胜超</w:t>
      </w:r>
      <w:r>
        <w:rPr>
          <w:rFonts w:hint="eastAsia" w:ascii="仿宋_GB2312" w:hAnsi="仿宋_GB2312" w:eastAsia="仿宋_GB2312" w:cs="仿宋_GB2312"/>
          <w:b/>
          <w:bCs/>
          <w:sz w:val="32"/>
          <w:szCs w:val="24"/>
        </w:rPr>
        <w:t>进行行政处罚。</w:t>
      </w:r>
    </w:p>
    <w:p>
      <w:pPr>
        <w:spacing w:line="620" w:lineRule="exact"/>
        <w:ind w:firstLine="643" w:firstLineChars="200"/>
        <w:rPr>
          <w:rFonts w:ascii="仿宋_GB2312" w:hAnsi="仿宋_GB2312" w:eastAsia="仿宋_GB2312" w:cs="仿宋_GB2312"/>
          <w:sz w:val="32"/>
          <w:szCs w:val="24"/>
        </w:rPr>
      </w:pPr>
      <w:r>
        <w:rPr>
          <w:rFonts w:hint="eastAsia" w:ascii="仿宋_GB2312" w:hAnsi="仿宋_GB2312" w:eastAsia="仿宋_GB2312" w:cs="仿宋_GB2312"/>
          <w:b/>
          <w:bCs/>
          <w:sz w:val="32"/>
          <w:szCs w:val="24"/>
        </w:rPr>
        <w:t>评估情况:</w:t>
      </w:r>
      <w:r>
        <w:rPr>
          <w:rFonts w:hint="eastAsia" w:ascii="仿宋_GB2312" w:hAnsi="仿宋_GB2312" w:eastAsia="仿宋_GB2312" w:cs="仿宋_GB2312"/>
          <w:sz w:val="32"/>
          <w:szCs w:val="24"/>
        </w:rPr>
        <w:t xml:space="preserve"> 区市场监管局已依据《中华人民共和国特种设备安全法》的相关规定,对</w:t>
      </w:r>
      <w:r>
        <w:rPr>
          <w:rFonts w:hint="eastAsia" w:ascii="仿宋_GB2312" w:hAnsi="仿宋_GB2312" w:eastAsia="仿宋_GB2312" w:cs="仿宋_GB2312"/>
          <w:sz w:val="32"/>
          <w:szCs w:val="24"/>
          <w:lang w:eastAsia="zh-CN"/>
        </w:rPr>
        <w:t>胡胜超</w:t>
      </w:r>
      <w:r>
        <w:rPr>
          <w:rFonts w:hint="eastAsia" w:ascii="仿宋_GB2312" w:hAnsi="仿宋_GB2312" w:eastAsia="仿宋_GB2312" w:cs="仿宋_GB2312"/>
          <w:sz w:val="32"/>
          <w:szCs w:val="24"/>
        </w:rPr>
        <w:t>处以</w:t>
      </w:r>
      <w:r>
        <w:rPr>
          <w:rFonts w:hint="eastAsia" w:ascii="仿宋_GB2312" w:hAnsi="仿宋_GB2312" w:eastAsia="仿宋_GB2312" w:cs="仿宋_GB2312"/>
          <w:sz w:val="32"/>
          <w:szCs w:val="24"/>
          <w:lang w:eastAsia="zh-CN"/>
        </w:rPr>
        <w:t>五万元人民币</w:t>
      </w:r>
      <w:r>
        <w:rPr>
          <w:rFonts w:hint="eastAsia" w:ascii="仿宋_GB2312" w:hAnsi="仿宋_GB2312" w:eastAsia="仿宋_GB2312" w:cs="仿宋_GB2312"/>
          <w:sz w:val="32"/>
          <w:szCs w:val="24"/>
        </w:rPr>
        <w:t>的罚款,上述处罚已下达行政处罚决定书,罚款全部执行完毕。</w:t>
      </w:r>
    </w:p>
    <w:p>
      <w:pPr>
        <w:spacing w:line="620" w:lineRule="exact"/>
        <w:ind w:firstLine="643" w:firstLineChars="200"/>
        <w:rPr>
          <w:rFonts w:ascii="楷体_GB2312" w:hAnsi="仿宋_GB2312" w:eastAsia="楷体_GB2312" w:cs="仿宋_GB2312"/>
          <w:b/>
          <w:bCs/>
          <w:sz w:val="32"/>
          <w:szCs w:val="24"/>
        </w:rPr>
      </w:pPr>
      <w:r>
        <w:rPr>
          <w:rFonts w:hint="eastAsia" w:ascii="楷体_GB2312" w:hAnsi="仿宋_GB2312" w:eastAsia="楷体_GB2312" w:cs="仿宋_GB2312"/>
          <w:b/>
          <w:bCs/>
          <w:sz w:val="32"/>
          <w:szCs w:val="24"/>
        </w:rPr>
        <w:t>(二)林笑非</w:t>
      </w:r>
    </w:p>
    <w:p>
      <w:pPr>
        <w:spacing w:line="620" w:lineRule="exact"/>
        <w:ind w:firstLine="640" w:firstLineChars="200"/>
        <w:rPr>
          <w:rFonts w:ascii="仿宋_GB2312" w:hAnsi="仿宋_GB2312" w:eastAsia="仿宋_GB2312" w:cs="仿宋_GB2312"/>
          <w:b/>
          <w:bCs/>
          <w:sz w:val="32"/>
          <w:szCs w:val="24"/>
        </w:rPr>
      </w:pPr>
      <w:r>
        <w:rPr>
          <w:rFonts w:hint="eastAsia" w:ascii="仿宋_GB2312" w:hAnsi="仿宋_GB2312" w:eastAsia="仿宋_GB2312" w:cs="仿宋_GB2312"/>
          <w:sz w:val="32"/>
          <w:szCs w:val="24"/>
        </w:rPr>
        <w:t>《事故调查报告》建议由</w:t>
      </w:r>
      <w:r>
        <w:rPr>
          <w:rFonts w:hint="eastAsia" w:ascii="仿宋_GB2312" w:hAnsi="仿宋_GB2312" w:eastAsia="仿宋_GB2312" w:cs="仿宋_GB2312"/>
          <w:b/>
          <w:bCs/>
          <w:sz w:val="32"/>
          <w:szCs w:val="24"/>
          <w:lang w:eastAsia="zh-CN"/>
        </w:rPr>
        <w:t>河南矿山依照公司的相关规定</w:t>
      </w:r>
      <w:r>
        <w:rPr>
          <w:rFonts w:hint="eastAsia" w:ascii="仿宋_GB2312" w:hAnsi="仿宋_GB2312" w:eastAsia="仿宋_GB2312" w:cs="仿宋_GB2312"/>
          <w:b/>
          <w:bCs/>
          <w:sz w:val="32"/>
          <w:szCs w:val="24"/>
        </w:rPr>
        <w:t>对林笑非</w:t>
      </w:r>
      <w:r>
        <w:rPr>
          <w:rFonts w:hint="eastAsia" w:ascii="仿宋_GB2312" w:hAnsi="仿宋_GB2312" w:eastAsia="仿宋_GB2312" w:cs="仿宋_GB2312"/>
          <w:b/>
          <w:bCs/>
          <w:sz w:val="32"/>
          <w:szCs w:val="24"/>
          <w:lang w:eastAsia="zh-CN"/>
        </w:rPr>
        <w:t>进行</w:t>
      </w:r>
      <w:r>
        <w:rPr>
          <w:rFonts w:hint="eastAsia" w:ascii="仿宋_GB2312" w:hAnsi="仿宋_GB2312" w:eastAsia="仿宋_GB2312" w:cs="仿宋_GB2312"/>
          <w:b/>
          <w:bCs/>
          <w:sz w:val="32"/>
          <w:szCs w:val="24"/>
        </w:rPr>
        <w:t>处理。</w:t>
      </w:r>
    </w:p>
    <w:p>
      <w:pPr>
        <w:spacing w:line="620" w:lineRule="exact"/>
        <w:ind w:firstLine="643" w:firstLineChars="200"/>
        <w:rPr>
          <w:rFonts w:ascii="仿宋_GB2312" w:hAnsi="仿宋_GB2312" w:eastAsia="仿宋_GB2312" w:cs="仿宋_GB2312"/>
          <w:sz w:val="32"/>
          <w:szCs w:val="24"/>
        </w:rPr>
      </w:pPr>
      <w:r>
        <w:rPr>
          <w:rFonts w:hint="eastAsia" w:ascii="仿宋_GB2312" w:hAnsi="仿宋_GB2312" w:eastAsia="仿宋_GB2312" w:cs="仿宋_GB2312"/>
          <w:b/>
          <w:bCs/>
          <w:sz w:val="32"/>
          <w:szCs w:val="24"/>
        </w:rPr>
        <w:t>评估情况：</w:t>
      </w:r>
      <w:r>
        <w:rPr>
          <w:rFonts w:hint="eastAsia" w:ascii="仿宋_GB2312" w:hAnsi="仿宋_GB2312" w:eastAsia="仿宋_GB2312" w:cs="仿宋_GB2312"/>
          <w:b w:val="0"/>
          <w:bCs w:val="0"/>
          <w:sz w:val="32"/>
          <w:szCs w:val="24"/>
          <w:lang w:eastAsia="zh-CN"/>
        </w:rPr>
        <w:t>河南矿山按厂规厂纪扣发林笑非职务津贴三个月，并由对外安全生产负责人降为安全员</w:t>
      </w:r>
      <w:r>
        <w:rPr>
          <w:rFonts w:hint="eastAsia" w:ascii="仿宋_GB2312" w:hAnsi="仿宋_GB2312" w:eastAsia="仿宋_GB2312" w:cs="仿宋_GB2312"/>
          <w:b w:val="0"/>
          <w:bCs w:val="0"/>
          <w:sz w:val="32"/>
          <w:szCs w:val="24"/>
        </w:rPr>
        <w:t>。</w:t>
      </w:r>
    </w:p>
    <w:p>
      <w:pPr>
        <w:spacing w:line="620" w:lineRule="exact"/>
        <w:ind w:firstLine="640" w:firstLineChars="200"/>
        <w:rPr>
          <w:rFonts w:ascii="楷体_GB2312" w:hAnsi="仿宋_GB2312" w:eastAsia="楷体_GB2312" w:cs="仿宋_GB2312"/>
          <w:sz w:val="32"/>
          <w:szCs w:val="24"/>
        </w:rPr>
      </w:pPr>
      <w:r>
        <w:rPr>
          <w:rFonts w:hint="eastAsia" w:ascii="楷体_GB2312" w:hAnsi="仿宋_GB2312" w:eastAsia="楷体_GB2312" w:cs="仿宋_GB2312"/>
          <w:sz w:val="32"/>
          <w:szCs w:val="24"/>
        </w:rPr>
        <w:t>（三）</w:t>
      </w:r>
      <w:r>
        <w:rPr>
          <w:rFonts w:hint="eastAsia" w:ascii="仿宋_GB2312" w:hAnsi="仿宋_GB2312" w:eastAsia="仿宋_GB2312" w:cs="仿宋_GB2312"/>
          <w:b/>
          <w:bCs/>
          <w:sz w:val="32"/>
          <w:szCs w:val="32"/>
        </w:rPr>
        <w:t>牛乃彪</w:t>
      </w:r>
    </w:p>
    <w:p>
      <w:pPr>
        <w:spacing w:line="620" w:lineRule="exact"/>
        <w:ind w:firstLine="640" w:firstLineChars="200"/>
        <w:rPr>
          <w:rFonts w:ascii="仿宋_GB2312" w:hAnsi="仿宋_GB2312" w:eastAsia="仿宋_GB2312" w:cs="仿宋_GB2312"/>
          <w:b/>
          <w:bCs/>
          <w:sz w:val="32"/>
          <w:szCs w:val="24"/>
        </w:rPr>
      </w:pPr>
      <w:r>
        <w:rPr>
          <w:rFonts w:hint="eastAsia" w:ascii="仿宋_GB2312" w:hAnsi="仿宋_GB2312" w:eastAsia="仿宋_GB2312" w:cs="仿宋_GB2312"/>
          <w:sz w:val="32"/>
          <w:szCs w:val="24"/>
        </w:rPr>
        <w:t>《事故调查报告》建议由</w:t>
      </w:r>
      <w:r>
        <w:rPr>
          <w:rFonts w:hint="eastAsia" w:ascii="仿宋_GB2312" w:hAnsi="仿宋_GB2312" w:eastAsia="仿宋_GB2312" w:cs="仿宋_GB2312"/>
          <w:b/>
          <w:bCs/>
          <w:sz w:val="32"/>
          <w:szCs w:val="24"/>
          <w:lang w:eastAsia="zh-CN"/>
        </w:rPr>
        <w:t>河南矿山依照公司的相关规定</w:t>
      </w:r>
      <w:r>
        <w:rPr>
          <w:rFonts w:hint="eastAsia" w:ascii="仿宋_GB2312" w:hAnsi="仿宋_GB2312" w:eastAsia="仿宋_GB2312" w:cs="仿宋_GB2312"/>
          <w:b/>
          <w:bCs/>
          <w:sz w:val="32"/>
          <w:szCs w:val="24"/>
        </w:rPr>
        <w:t>对</w:t>
      </w:r>
      <w:r>
        <w:rPr>
          <w:rFonts w:hint="eastAsia" w:ascii="仿宋_GB2312" w:hAnsi="仿宋_GB2312" w:eastAsia="仿宋_GB2312" w:cs="仿宋_GB2312"/>
          <w:b/>
          <w:bCs/>
          <w:sz w:val="32"/>
          <w:szCs w:val="24"/>
          <w:lang w:eastAsia="zh-CN"/>
        </w:rPr>
        <w:t>牛乃彪进行</w:t>
      </w:r>
      <w:r>
        <w:rPr>
          <w:rFonts w:hint="eastAsia" w:ascii="仿宋_GB2312" w:hAnsi="仿宋_GB2312" w:eastAsia="仿宋_GB2312" w:cs="仿宋_GB2312"/>
          <w:b/>
          <w:bCs/>
          <w:sz w:val="32"/>
          <w:szCs w:val="24"/>
        </w:rPr>
        <w:t>处理。</w:t>
      </w:r>
    </w:p>
    <w:p>
      <w:pPr>
        <w:spacing w:line="620" w:lineRule="exact"/>
        <w:ind w:firstLine="643" w:firstLineChars="200"/>
        <w:rPr>
          <w:rFonts w:ascii="楷体_GB2312" w:hAnsi="楷体_GB2312" w:eastAsia="楷体_GB2312" w:cs="楷体_GB2312"/>
          <w:b w:val="0"/>
          <w:bCs w:val="0"/>
          <w:sz w:val="32"/>
          <w:szCs w:val="32"/>
        </w:rPr>
      </w:pPr>
      <w:r>
        <w:rPr>
          <w:rFonts w:hint="eastAsia" w:ascii="仿宋_GB2312" w:hAnsi="仿宋_GB2312" w:eastAsia="仿宋_GB2312" w:cs="仿宋_GB2312"/>
          <w:b/>
          <w:bCs/>
          <w:sz w:val="32"/>
          <w:szCs w:val="24"/>
        </w:rPr>
        <w:t>评估情况：</w:t>
      </w:r>
      <w:r>
        <w:rPr>
          <w:rFonts w:hint="eastAsia" w:ascii="仿宋_GB2312" w:hAnsi="仿宋_GB2312" w:eastAsia="仿宋_GB2312" w:cs="仿宋_GB2312"/>
          <w:b w:val="0"/>
          <w:bCs w:val="0"/>
          <w:sz w:val="32"/>
          <w:szCs w:val="24"/>
          <w:lang w:eastAsia="zh-CN"/>
        </w:rPr>
        <w:t>河南矿山按厂规厂纪扣发牛乃彪职务津贴三个月，并留职察看</w:t>
      </w:r>
      <w:r>
        <w:rPr>
          <w:rFonts w:hint="eastAsia" w:ascii="仿宋_GB2312" w:hAnsi="仿宋_GB2312" w:eastAsia="仿宋_GB2312" w:cs="仿宋_GB2312"/>
          <w:b w:val="0"/>
          <w:bCs w:val="0"/>
          <w:sz w:val="32"/>
          <w:szCs w:val="24"/>
        </w:rPr>
        <w:t>。</w:t>
      </w:r>
    </w:p>
    <w:p>
      <w:pPr>
        <w:keepNext w:val="0"/>
        <w:keepLines w:val="0"/>
        <w:pageBreakBefore w:val="0"/>
        <w:kinsoku/>
        <w:wordWrap/>
        <w:overflowPunct/>
        <w:topLinePunct w:val="0"/>
        <w:autoSpaceDE/>
        <w:autoSpaceDN/>
        <w:bidi w:val="0"/>
        <w:spacing w:line="620" w:lineRule="exact"/>
        <w:ind w:firstLine="643" w:firstLineChars="200"/>
        <w:textAlignment w:val="auto"/>
        <w:rPr>
          <w:rFonts w:ascii="黑体" w:hAnsi="黑体" w:eastAsia="黑体" w:cs="仿宋_GB2312"/>
          <w:b/>
          <w:bCs/>
          <w:sz w:val="32"/>
          <w:szCs w:val="24"/>
        </w:rPr>
      </w:pPr>
      <w:r>
        <w:rPr>
          <w:rFonts w:hint="eastAsia" w:ascii="黑体" w:hAnsi="黑体" w:eastAsia="黑体" w:cs="仿宋_GB2312"/>
          <w:b/>
          <w:bCs/>
          <w:sz w:val="32"/>
          <w:szCs w:val="24"/>
        </w:rPr>
        <w:t>三、事故防范整改措施落实情况</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620" w:lineRule="exact"/>
        <w:ind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eastAsia="zh-CN"/>
        </w:rPr>
        <w:t>河南矿山</w:t>
      </w:r>
      <w:r>
        <w:rPr>
          <w:rFonts w:hint="eastAsia" w:ascii="仿宋_GB2312" w:hAnsi="仿宋_GB2312" w:eastAsia="仿宋_GB2312" w:cs="仿宋_GB2312"/>
          <w:sz w:val="32"/>
          <w:szCs w:val="24"/>
        </w:rPr>
        <w:t>深刻吸取事故教训，按照</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事故调查报告</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的建议进行</w:t>
      </w:r>
      <w:r>
        <w:rPr>
          <w:rFonts w:hint="eastAsia" w:ascii="仿宋_GB2312" w:hAnsi="仿宋_GB2312" w:eastAsia="仿宋_GB2312" w:cs="仿宋_GB2312"/>
          <w:sz w:val="32"/>
          <w:szCs w:val="24"/>
          <w:lang w:eastAsia="zh-CN"/>
        </w:rPr>
        <w:t>了</w:t>
      </w:r>
      <w:r>
        <w:rPr>
          <w:rFonts w:hint="eastAsia" w:ascii="仿宋_GB2312" w:hAnsi="仿宋_GB2312" w:eastAsia="仿宋_GB2312" w:cs="仿宋_GB2312"/>
          <w:sz w:val="32"/>
          <w:szCs w:val="24"/>
        </w:rPr>
        <w:t>整改。一、强化安全生产红线意识</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加强对《安全生产法》和《中华人民共和国特种设备安全法》等法律法规</w:t>
      </w:r>
      <w:r>
        <w:rPr>
          <w:rFonts w:hint="eastAsia" w:ascii="仿宋_GB2312" w:hAnsi="仿宋_GB2312" w:eastAsia="仿宋_GB2312" w:cs="仿宋_GB2312"/>
          <w:sz w:val="32"/>
          <w:szCs w:val="24"/>
          <w:lang w:eastAsia="zh-CN"/>
        </w:rPr>
        <w:t>的</w:t>
      </w:r>
      <w:r>
        <w:rPr>
          <w:rFonts w:hint="eastAsia" w:ascii="仿宋_GB2312" w:hAnsi="仿宋_GB2312" w:eastAsia="仿宋_GB2312" w:cs="仿宋_GB2312"/>
          <w:sz w:val="32"/>
          <w:szCs w:val="24"/>
        </w:rPr>
        <w:t>学习，更好的敬畏法律、遵守法律</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完善安全生产管理制度，强化安全生产现场管理，对重点工艺、重点设备的安全管理制度和操作规程进行全面梳理，</w:t>
      </w:r>
      <w:r>
        <w:rPr>
          <w:rFonts w:hint="eastAsia" w:ascii="仿宋_GB2312" w:hAnsi="仿宋_GB2312" w:eastAsia="仿宋_GB2312" w:cs="仿宋_GB2312"/>
          <w:sz w:val="32"/>
          <w:szCs w:val="24"/>
          <w:lang w:eastAsia="zh-CN"/>
        </w:rPr>
        <w:t>健全相关操作规程</w:t>
      </w:r>
      <w:r>
        <w:rPr>
          <w:rFonts w:hint="eastAsia" w:ascii="仿宋_GB2312" w:hAnsi="仿宋_GB2312" w:eastAsia="仿宋_GB2312" w:cs="仿宋_GB2312"/>
          <w:sz w:val="32"/>
          <w:szCs w:val="24"/>
        </w:rPr>
        <w:t>；二、强化监督检查和规章制度的落实，对风险点进行全面梳理，科学辨识、评估风险等级，对生产作业工作进行全面、有效地监督、检查，</w:t>
      </w:r>
      <w:r>
        <w:rPr>
          <w:rFonts w:hint="eastAsia" w:ascii="仿宋_GB2312" w:hAnsi="仿宋_GB2312" w:eastAsia="仿宋_GB2312" w:cs="仿宋_GB2312"/>
          <w:bCs/>
          <w:sz w:val="32"/>
          <w:szCs w:val="32"/>
        </w:rPr>
        <w:t>开展多个安全生产专项检查，持续不断</w:t>
      </w:r>
      <w:r>
        <w:rPr>
          <w:rFonts w:hint="eastAsia" w:ascii="仿宋_GB2312" w:hAnsi="仿宋_GB2312" w:eastAsia="仿宋_GB2312" w:cs="仿宋_GB2312"/>
          <w:sz w:val="32"/>
          <w:szCs w:val="24"/>
        </w:rPr>
        <w:t>加强隐患排查，及时消除事故隐患</w:t>
      </w:r>
      <w:r>
        <w:rPr>
          <w:rFonts w:hint="eastAsia" w:ascii="仿宋_GB2312" w:hAnsi="仿宋_GB2312" w:eastAsia="仿宋_GB2312" w:cs="仿宋_GB2312"/>
          <w:bCs/>
          <w:sz w:val="32"/>
          <w:szCs w:val="32"/>
        </w:rPr>
        <w:t>，并重点整治“三违”现象</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eastAsia="zh-CN"/>
        </w:rPr>
        <w:t>三</w:t>
      </w:r>
      <w:r>
        <w:rPr>
          <w:rFonts w:hint="eastAsia" w:ascii="仿宋_GB2312" w:hAnsi="仿宋_GB2312" w:eastAsia="仿宋_GB2312" w:cs="仿宋_GB2312"/>
          <w:sz w:val="32"/>
          <w:szCs w:val="24"/>
        </w:rPr>
        <w:t>、强化</w:t>
      </w:r>
      <w:r>
        <w:rPr>
          <w:rFonts w:hint="eastAsia" w:ascii="仿宋_GB2312" w:hAnsi="仿宋_GB2312" w:eastAsia="仿宋_GB2312" w:cs="仿宋_GB2312"/>
          <w:sz w:val="32"/>
          <w:szCs w:val="24"/>
          <w:lang w:eastAsia="zh-CN"/>
        </w:rPr>
        <w:t>安全教育培训，</w:t>
      </w:r>
      <w:r>
        <w:rPr>
          <w:rFonts w:hint="eastAsia" w:ascii="仿宋_GB2312" w:hAnsi="仿宋_GB2312" w:eastAsia="仿宋_GB2312" w:cs="仿宋_GB2312"/>
          <w:bCs/>
          <w:sz w:val="32"/>
          <w:szCs w:val="32"/>
        </w:rPr>
        <w:t>以案为鉴，</w:t>
      </w:r>
      <w:r>
        <w:rPr>
          <w:rFonts w:hint="eastAsia" w:ascii="仿宋_GB2312" w:hAnsi="仿宋_GB2312" w:eastAsia="仿宋_GB2312" w:cs="仿宋_GB2312"/>
          <w:bCs/>
          <w:sz w:val="32"/>
          <w:szCs w:val="32"/>
          <w:lang w:eastAsia="zh-CN"/>
        </w:rPr>
        <w:t>提高安全风险防范意识，</w:t>
      </w:r>
      <w:r>
        <w:rPr>
          <w:rFonts w:hint="eastAsia" w:ascii="仿宋_GB2312" w:hAnsi="仿宋_GB2312" w:eastAsia="仿宋_GB2312" w:cs="仿宋_GB2312"/>
          <w:sz w:val="32"/>
          <w:szCs w:val="24"/>
          <w:lang w:eastAsia="zh-CN"/>
        </w:rPr>
        <w:t>对现场作业人员逐一进行安全技术交底，</w:t>
      </w:r>
      <w:r>
        <w:rPr>
          <w:rFonts w:hint="eastAsia" w:ascii="仿宋_GB2312" w:hAnsi="仿宋_GB2312" w:eastAsia="仿宋_GB2312" w:cs="仿宋_GB2312"/>
          <w:bCs/>
          <w:sz w:val="32"/>
          <w:szCs w:val="32"/>
          <w:lang w:eastAsia="zh-CN"/>
        </w:rPr>
        <w:t>并</w:t>
      </w:r>
      <w:r>
        <w:rPr>
          <w:rFonts w:hint="eastAsia" w:ascii="仿宋_GB2312" w:hAnsi="仿宋_GB2312" w:eastAsia="仿宋_GB2312" w:cs="仿宋_GB2312"/>
          <w:bCs/>
          <w:sz w:val="32"/>
          <w:szCs w:val="32"/>
        </w:rPr>
        <w:t>定期进行教育培训，形成常态化的教育培训机制，让作业人员熟练掌握操作规范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24"/>
          <w:lang w:eastAsia="zh-CN"/>
        </w:rPr>
        <w:t>建立相应的安全技术档案，杜绝未受教育即上岗作业的现象</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eastAsia="zh-CN"/>
        </w:rPr>
        <w:t>四</w:t>
      </w:r>
      <w:r>
        <w:rPr>
          <w:rFonts w:hint="eastAsia" w:ascii="仿宋_GB2312" w:hAnsi="仿宋_GB2312" w:eastAsia="仿宋_GB2312" w:cs="仿宋_GB2312"/>
          <w:sz w:val="32"/>
          <w:szCs w:val="24"/>
        </w:rPr>
        <w:t>、进一步</w:t>
      </w:r>
      <w:r>
        <w:rPr>
          <w:rFonts w:hint="eastAsia" w:ascii="仿宋_GB2312" w:hAnsi="仿宋_GB2312" w:eastAsia="仿宋_GB2312" w:cs="仿宋_GB2312"/>
          <w:sz w:val="32"/>
          <w:szCs w:val="24"/>
          <w:lang w:eastAsia="zh-CN"/>
        </w:rPr>
        <w:t>加强</w:t>
      </w:r>
      <w:r>
        <w:rPr>
          <w:rFonts w:hint="eastAsia" w:ascii="仿宋_GB2312" w:hAnsi="仿宋_GB2312" w:eastAsia="仿宋_GB2312" w:cs="仿宋_GB2312"/>
          <w:sz w:val="32"/>
          <w:szCs w:val="24"/>
        </w:rPr>
        <w:t>应急处置，</w:t>
      </w:r>
      <w:r>
        <w:rPr>
          <w:rFonts w:hint="eastAsia" w:ascii="仿宋_GB2312" w:hAnsi="仿宋_GB2312" w:eastAsia="仿宋_GB2312" w:cs="仿宋_GB2312"/>
          <w:sz w:val="32"/>
          <w:szCs w:val="24"/>
          <w:lang w:eastAsia="zh-CN"/>
        </w:rPr>
        <w:t>完善应急救援预案，</w:t>
      </w:r>
      <w:r>
        <w:rPr>
          <w:rFonts w:hint="eastAsia" w:ascii="仿宋_GB2312" w:hAnsi="仿宋_GB2312" w:eastAsia="仿宋_GB2312" w:cs="仿宋_GB2312"/>
          <w:sz w:val="32"/>
          <w:szCs w:val="24"/>
        </w:rPr>
        <w:t xml:space="preserve">强化人员应急培训、演练，加强模拟特种设备事故发生后的报告程序，确保不再发生事故迟报、瞒报、谎报、漏报等违法行为。 </w:t>
      </w:r>
    </w:p>
    <w:p>
      <w:pPr>
        <w:pStyle w:val="2"/>
        <w:spacing w:line="620" w:lineRule="exact"/>
        <w:ind w:left="0" w:leftChars="0" w:firstLine="0" w:firstLineChars="0"/>
        <w:rPr>
          <w:rFonts w:ascii="仿宋_GB2312" w:eastAsia="仿宋_GB2312"/>
          <w:sz w:val="32"/>
          <w:szCs w:val="32"/>
        </w:rPr>
      </w:pPr>
    </w:p>
    <w:p>
      <w:pPr>
        <w:pStyle w:val="2"/>
        <w:spacing w:line="620" w:lineRule="exact"/>
        <w:ind w:firstLine="640"/>
        <w:rPr>
          <w:rFonts w:ascii="仿宋_GB2312" w:eastAsia="仿宋_GB2312"/>
          <w:sz w:val="32"/>
          <w:szCs w:val="32"/>
        </w:rPr>
      </w:pPr>
    </w:p>
    <w:p>
      <w:pPr>
        <w:pStyle w:val="2"/>
        <w:spacing w:line="620" w:lineRule="exact"/>
        <w:ind w:firstLine="4419" w:firstLineChars="1381"/>
        <w:rPr>
          <w:rFonts w:ascii="仿宋_GB2312" w:eastAsia="仿宋_GB2312"/>
          <w:sz w:val="32"/>
          <w:szCs w:val="32"/>
        </w:rPr>
      </w:pPr>
      <w:r>
        <w:rPr>
          <w:rFonts w:hint="eastAsia" w:ascii="仿宋_GB2312" w:eastAsia="仿宋_GB2312"/>
          <w:sz w:val="32"/>
          <w:szCs w:val="32"/>
        </w:rPr>
        <w:t>事故结案评估组</w:t>
      </w:r>
    </w:p>
    <w:p>
      <w:pPr>
        <w:pStyle w:val="2"/>
        <w:spacing w:line="620" w:lineRule="exact"/>
        <w:ind w:firstLine="640"/>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Y2YxNTI4OTRhNDlkMGI5MmJjYzk5NGNkN2FiNjYifQ=="/>
  </w:docVars>
  <w:rsids>
    <w:rsidRoot w:val="001F01CB"/>
    <w:rsid w:val="0003476D"/>
    <w:rsid w:val="000449F4"/>
    <w:rsid w:val="000A1734"/>
    <w:rsid w:val="000B3E8C"/>
    <w:rsid w:val="000C772C"/>
    <w:rsid w:val="001063BE"/>
    <w:rsid w:val="00122F8F"/>
    <w:rsid w:val="001252FC"/>
    <w:rsid w:val="0013219B"/>
    <w:rsid w:val="0013693A"/>
    <w:rsid w:val="00153BE8"/>
    <w:rsid w:val="001B6FD4"/>
    <w:rsid w:val="001C2724"/>
    <w:rsid w:val="001E31BD"/>
    <w:rsid w:val="001F01CB"/>
    <w:rsid w:val="001F3120"/>
    <w:rsid w:val="00205D49"/>
    <w:rsid w:val="00256E8A"/>
    <w:rsid w:val="002825E0"/>
    <w:rsid w:val="002B2DE3"/>
    <w:rsid w:val="002C337A"/>
    <w:rsid w:val="002F13DF"/>
    <w:rsid w:val="00304239"/>
    <w:rsid w:val="00310F7E"/>
    <w:rsid w:val="00360FE3"/>
    <w:rsid w:val="00361BCC"/>
    <w:rsid w:val="00384585"/>
    <w:rsid w:val="0039003D"/>
    <w:rsid w:val="003A4B6B"/>
    <w:rsid w:val="003A6972"/>
    <w:rsid w:val="003C0CB9"/>
    <w:rsid w:val="003E6735"/>
    <w:rsid w:val="0041301F"/>
    <w:rsid w:val="00416410"/>
    <w:rsid w:val="00416B4E"/>
    <w:rsid w:val="004264F6"/>
    <w:rsid w:val="004379C6"/>
    <w:rsid w:val="004555C3"/>
    <w:rsid w:val="0047447B"/>
    <w:rsid w:val="00484339"/>
    <w:rsid w:val="004869E4"/>
    <w:rsid w:val="004B5A95"/>
    <w:rsid w:val="004F0957"/>
    <w:rsid w:val="005046B9"/>
    <w:rsid w:val="005254A6"/>
    <w:rsid w:val="0053233D"/>
    <w:rsid w:val="00554F9A"/>
    <w:rsid w:val="005A147B"/>
    <w:rsid w:val="005A6F5C"/>
    <w:rsid w:val="005C1026"/>
    <w:rsid w:val="005E68E3"/>
    <w:rsid w:val="005F6918"/>
    <w:rsid w:val="00601EE6"/>
    <w:rsid w:val="00610986"/>
    <w:rsid w:val="00624FE8"/>
    <w:rsid w:val="006828C1"/>
    <w:rsid w:val="006C0005"/>
    <w:rsid w:val="006C06B4"/>
    <w:rsid w:val="006C1934"/>
    <w:rsid w:val="006D194E"/>
    <w:rsid w:val="00710415"/>
    <w:rsid w:val="0072364D"/>
    <w:rsid w:val="00763CCE"/>
    <w:rsid w:val="007850F9"/>
    <w:rsid w:val="00796934"/>
    <w:rsid w:val="008052D6"/>
    <w:rsid w:val="008140D2"/>
    <w:rsid w:val="00817DF1"/>
    <w:rsid w:val="0082549A"/>
    <w:rsid w:val="00861C34"/>
    <w:rsid w:val="00875F74"/>
    <w:rsid w:val="008B54D9"/>
    <w:rsid w:val="008D7B05"/>
    <w:rsid w:val="008F5D5D"/>
    <w:rsid w:val="00923732"/>
    <w:rsid w:val="00961600"/>
    <w:rsid w:val="00967B6A"/>
    <w:rsid w:val="00991AAE"/>
    <w:rsid w:val="009A322D"/>
    <w:rsid w:val="009B505B"/>
    <w:rsid w:val="009E4C65"/>
    <w:rsid w:val="00A1099B"/>
    <w:rsid w:val="00A125EB"/>
    <w:rsid w:val="00A15009"/>
    <w:rsid w:val="00A17959"/>
    <w:rsid w:val="00A3495D"/>
    <w:rsid w:val="00A552E3"/>
    <w:rsid w:val="00A87D66"/>
    <w:rsid w:val="00A87EB8"/>
    <w:rsid w:val="00A97F42"/>
    <w:rsid w:val="00AA72CB"/>
    <w:rsid w:val="00AD0D35"/>
    <w:rsid w:val="00B1070E"/>
    <w:rsid w:val="00B125CF"/>
    <w:rsid w:val="00B20329"/>
    <w:rsid w:val="00B24C43"/>
    <w:rsid w:val="00B24ED8"/>
    <w:rsid w:val="00B42DA2"/>
    <w:rsid w:val="00B442F7"/>
    <w:rsid w:val="00B47021"/>
    <w:rsid w:val="00B5588E"/>
    <w:rsid w:val="00B75735"/>
    <w:rsid w:val="00B82842"/>
    <w:rsid w:val="00BA0390"/>
    <w:rsid w:val="00BB2D32"/>
    <w:rsid w:val="00BF2097"/>
    <w:rsid w:val="00BF3E40"/>
    <w:rsid w:val="00C038F9"/>
    <w:rsid w:val="00C12615"/>
    <w:rsid w:val="00C12632"/>
    <w:rsid w:val="00C17BBF"/>
    <w:rsid w:val="00C43306"/>
    <w:rsid w:val="00C54037"/>
    <w:rsid w:val="00CA1ECA"/>
    <w:rsid w:val="00CB0BAA"/>
    <w:rsid w:val="00CD0726"/>
    <w:rsid w:val="00CD4B44"/>
    <w:rsid w:val="00D02381"/>
    <w:rsid w:val="00DA6462"/>
    <w:rsid w:val="00DB3931"/>
    <w:rsid w:val="00DF2B8E"/>
    <w:rsid w:val="00DF37EB"/>
    <w:rsid w:val="00DF7D6A"/>
    <w:rsid w:val="00E10241"/>
    <w:rsid w:val="00E153C1"/>
    <w:rsid w:val="00E32BCF"/>
    <w:rsid w:val="00E52559"/>
    <w:rsid w:val="00E643B0"/>
    <w:rsid w:val="00E83582"/>
    <w:rsid w:val="00EA0AC4"/>
    <w:rsid w:val="00EB0299"/>
    <w:rsid w:val="00EC441F"/>
    <w:rsid w:val="00EC6230"/>
    <w:rsid w:val="00ED3A26"/>
    <w:rsid w:val="00EF5BD6"/>
    <w:rsid w:val="00F15821"/>
    <w:rsid w:val="00F77FCF"/>
    <w:rsid w:val="00FA175A"/>
    <w:rsid w:val="00FB13A1"/>
    <w:rsid w:val="00FB2356"/>
    <w:rsid w:val="00FC0563"/>
    <w:rsid w:val="00FC142C"/>
    <w:rsid w:val="024C7B7E"/>
    <w:rsid w:val="03085EBC"/>
    <w:rsid w:val="060A0859"/>
    <w:rsid w:val="07274ABF"/>
    <w:rsid w:val="07C308C6"/>
    <w:rsid w:val="07E27DE2"/>
    <w:rsid w:val="0E0B6916"/>
    <w:rsid w:val="0F5003B9"/>
    <w:rsid w:val="10464D41"/>
    <w:rsid w:val="12237E16"/>
    <w:rsid w:val="164E5EA7"/>
    <w:rsid w:val="16953C1B"/>
    <w:rsid w:val="18032817"/>
    <w:rsid w:val="210634DE"/>
    <w:rsid w:val="213B3D1A"/>
    <w:rsid w:val="21DB5C6C"/>
    <w:rsid w:val="234C22AC"/>
    <w:rsid w:val="259063F0"/>
    <w:rsid w:val="25D3768A"/>
    <w:rsid w:val="26E40B30"/>
    <w:rsid w:val="27711F42"/>
    <w:rsid w:val="2EAC6087"/>
    <w:rsid w:val="2F3B5A4A"/>
    <w:rsid w:val="2FFE5A1F"/>
    <w:rsid w:val="35426A49"/>
    <w:rsid w:val="38AF7163"/>
    <w:rsid w:val="3CBC33A9"/>
    <w:rsid w:val="3E230FE7"/>
    <w:rsid w:val="3E952BDE"/>
    <w:rsid w:val="41C77552"/>
    <w:rsid w:val="433E65C2"/>
    <w:rsid w:val="43660A5A"/>
    <w:rsid w:val="442531E5"/>
    <w:rsid w:val="445A589A"/>
    <w:rsid w:val="45603410"/>
    <w:rsid w:val="45D00969"/>
    <w:rsid w:val="472B2CAB"/>
    <w:rsid w:val="472F3056"/>
    <w:rsid w:val="476A606E"/>
    <w:rsid w:val="4A2B5838"/>
    <w:rsid w:val="4A735073"/>
    <w:rsid w:val="4ACB0819"/>
    <w:rsid w:val="4E361388"/>
    <w:rsid w:val="4F431A2C"/>
    <w:rsid w:val="5202353D"/>
    <w:rsid w:val="522F1222"/>
    <w:rsid w:val="5391176E"/>
    <w:rsid w:val="554B070C"/>
    <w:rsid w:val="57C51042"/>
    <w:rsid w:val="5D157688"/>
    <w:rsid w:val="5EDD1954"/>
    <w:rsid w:val="5FF6130A"/>
    <w:rsid w:val="65D01703"/>
    <w:rsid w:val="660A3E2C"/>
    <w:rsid w:val="6C8456D5"/>
    <w:rsid w:val="6CC90487"/>
    <w:rsid w:val="744E52FB"/>
    <w:rsid w:val="767725E3"/>
    <w:rsid w:val="76C53D58"/>
    <w:rsid w:val="78DE530F"/>
    <w:rsid w:val="796B2926"/>
    <w:rsid w:val="7971647C"/>
    <w:rsid w:val="7ABD1822"/>
    <w:rsid w:val="7ACB27BB"/>
    <w:rsid w:val="7B7F4658"/>
    <w:rsid w:val="7BAA1B9F"/>
    <w:rsid w:val="7E7B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w:basedOn w:val="1"/>
    <w:link w:val="15"/>
    <w:semiHidden/>
    <w:unhideWhenUsed/>
    <w:qFormat/>
    <w:uiPriority w:val="99"/>
    <w:pPr>
      <w:spacing w:after="120"/>
    </w:pPr>
  </w:style>
  <w:style w:type="paragraph" w:styleId="6">
    <w:name w:val="Balloon Text"/>
    <w:basedOn w:val="1"/>
    <w:link w:val="14"/>
    <w:semiHidden/>
    <w:unhideWhenUsed/>
    <w:qFormat/>
    <w:uiPriority w:val="99"/>
    <w:rPr>
      <w:sz w:val="18"/>
      <w:szCs w:val="18"/>
    </w:rPr>
  </w:style>
  <w:style w:type="paragraph" w:styleId="7">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qFormat/>
    <w:uiPriority w:val="0"/>
  </w:style>
  <w:style w:type="paragraph" w:styleId="13">
    <w:name w:val="List Paragraph"/>
    <w:basedOn w:val="1"/>
    <w:qFormat/>
    <w:uiPriority w:val="34"/>
    <w:pPr>
      <w:ind w:firstLine="420" w:firstLineChars="200"/>
    </w:pPr>
  </w:style>
  <w:style w:type="character" w:customStyle="1" w:styleId="14">
    <w:name w:val="批注框文本 Char"/>
    <w:basedOn w:val="11"/>
    <w:link w:val="6"/>
    <w:semiHidden/>
    <w:qFormat/>
    <w:uiPriority w:val="99"/>
    <w:rPr>
      <w:rFonts w:ascii="Calibri" w:hAnsi="Calibri" w:eastAsia="宋体" w:cs="Times New Roman"/>
      <w:kern w:val="2"/>
      <w:sz w:val="18"/>
      <w:szCs w:val="18"/>
    </w:rPr>
  </w:style>
  <w:style w:type="character" w:customStyle="1" w:styleId="15">
    <w:name w:val="正文文本 Char"/>
    <w:basedOn w:val="11"/>
    <w:link w:val="5"/>
    <w:semiHidden/>
    <w:qFormat/>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329</Words>
  <Characters>1876</Characters>
  <Lines>15</Lines>
  <Paragraphs>4</Paragraphs>
  <TotalTime>7</TotalTime>
  <ScaleCrop>false</ScaleCrop>
  <LinksUpToDate>false</LinksUpToDate>
  <CharactersWithSpaces>2201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2022-03-28T07:50:00Z</dcterms:created>
  <dc:creator>杨海潮</dc:creator>
  <cp:lastModifiedBy>袁鹏程</cp:lastModifiedBy>
  <cp:lastPrinted>2022-09-22T02:40:00Z</cp:lastPrinted>
  <dcterms:modified xsi:type="dcterms:W3CDTF">2023-03-02T01:05:03Z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EFF1EC9590984490A451A1A6858E2C38</vt:lpwstr>
  </property>
</Properties>
</file>