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CA6" w:rsidRPr="00511D3B" w:rsidRDefault="00452CA6" w:rsidP="00452CA6">
      <w:pPr>
        <w:snapToGrid w:val="0"/>
        <w:spacing w:line="620" w:lineRule="exact"/>
        <w:contextualSpacing/>
        <w:jc w:val="center"/>
        <w:rPr>
          <w:rFonts w:ascii="方正小标宋简体" w:eastAsia="方正小标宋简体" w:hAnsi="宋体"/>
          <w:sz w:val="44"/>
          <w:szCs w:val="44"/>
        </w:rPr>
      </w:pPr>
      <w:r w:rsidRPr="00511D3B">
        <w:rPr>
          <w:rFonts w:ascii="方正小标宋简体" w:eastAsia="方正小标宋简体" w:hAnsi="宋体" w:hint="eastAsia"/>
          <w:sz w:val="44"/>
          <w:szCs w:val="44"/>
        </w:rPr>
        <w:t>202</w:t>
      </w:r>
      <w:r w:rsidR="00944944" w:rsidRPr="00511D3B">
        <w:rPr>
          <w:rFonts w:ascii="方正小标宋简体" w:eastAsia="方正小标宋简体" w:hAnsi="宋体" w:hint="eastAsia"/>
          <w:sz w:val="44"/>
          <w:szCs w:val="44"/>
        </w:rPr>
        <w:t>4</w:t>
      </w:r>
      <w:r w:rsidRPr="00511D3B">
        <w:rPr>
          <w:rFonts w:ascii="方正小标宋简体" w:eastAsia="方正小标宋简体" w:hAnsi="宋体" w:hint="eastAsia"/>
          <w:sz w:val="44"/>
          <w:szCs w:val="44"/>
        </w:rPr>
        <w:t>年度滨海新区市场主体信用监管报告</w:t>
      </w:r>
    </w:p>
    <w:p w:rsidR="00452CA6" w:rsidRPr="00511D3B" w:rsidRDefault="00452CA6" w:rsidP="00452CA6">
      <w:pPr>
        <w:snapToGrid w:val="0"/>
        <w:spacing w:line="620" w:lineRule="exact"/>
        <w:ind w:firstLineChars="200" w:firstLine="720"/>
        <w:contextualSpacing/>
        <w:jc w:val="center"/>
        <w:rPr>
          <w:rFonts w:ascii="仿宋_GB2312" w:eastAsia="仿宋_GB2312" w:hAnsi="仿宋"/>
          <w:sz w:val="36"/>
          <w:szCs w:val="36"/>
        </w:rPr>
      </w:pPr>
    </w:p>
    <w:p w:rsidR="00452CA6" w:rsidRPr="00511D3B" w:rsidRDefault="00452CA6" w:rsidP="00452CA6">
      <w:pPr>
        <w:snapToGrid w:val="0"/>
        <w:spacing w:line="620" w:lineRule="exact"/>
        <w:ind w:firstLineChars="200" w:firstLine="640"/>
        <w:contextualSpacing/>
        <w:jc w:val="left"/>
        <w:rPr>
          <w:rFonts w:ascii="仿宋_GB2312" w:eastAsia="仿宋_GB2312" w:hAnsi="Times New Roman"/>
          <w:sz w:val="32"/>
          <w:szCs w:val="32"/>
        </w:rPr>
      </w:pPr>
      <w:r w:rsidRPr="00511D3B">
        <w:rPr>
          <w:rFonts w:ascii="仿宋_GB2312" w:eastAsia="仿宋_GB2312" w:hAnsi="Times New Roman" w:hint="eastAsia"/>
          <w:sz w:val="32"/>
          <w:szCs w:val="32"/>
        </w:rPr>
        <w:t>202</w:t>
      </w:r>
      <w:r w:rsidR="00944944" w:rsidRPr="00511D3B">
        <w:rPr>
          <w:rFonts w:ascii="仿宋_GB2312" w:eastAsia="仿宋_GB2312" w:hAnsi="Times New Roman" w:hint="eastAsia"/>
          <w:sz w:val="32"/>
          <w:szCs w:val="32"/>
        </w:rPr>
        <w:t>4</w:t>
      </w:r>
      <w:r w:rsidRPr="00511D3B">
        <w:rPr>
          <w:rFonts w:ascii="仿宋_GB2312" w:eastAsia="仿宋_GB2312" w:hAnsi="Times New Roman" w:hint="eastAsia"/>
          <w:sz w:val="32"/>
          <w:szCs w:val="32"/>
        </w:rPr>
        <w:t>年，滨海新区市场监管局</w:t>
      </w:r>
      <w:r w:rsidR="00944944" w:rsidRPr="00511D3B">
        <w:rPr>
          <w:rFonts w:ascii="仿宋_GB2312" w:eastAsia="仿宋_GB2312" w:hAnsi="Times New Roman"/>
          <w:sz w:val="32"/>
          <w:szCs w:val="32"/>
        </w:rPr>
        <w:t>积极</w:t>
      </w:r>
      <w:proofErr w:type="gramStart"/>
      <w:r w:rsidR="00944944" w:rsidRPr="00511D3B">
        <w:rPr>
          <w:rFonts w:ascii="仿宋_GB2312" w:eastAsia="仿宋_GB2312" w:hAnsi="Times New Roman"/>
          <w:sz w:val="32"/>
          <w:szCs w:val="32"/>
        </w:rPr>
        <w:t>践行</w:t>
      </w:r>
      <w:proofErr w:type="gramEnd"/>
      <w:r w:rsidR="00944944" w:rsidRPr="00511D3B">
        <w:rPr>
          <w:rFonts w:ascii="仿宋_GB2312" w:eastAsia="仿宋_GB2312" w:hAnsi="Times New Roman"/>
          <w:sz w:val="32"/>
          <w:szCs w:val="32"/>
        </w:rPr>
        <w:t>“</w:t>
      </w:r>
      <w:r w:rsidR="00944944" w:rsidRPr="00511D3B">
        <w:rPr>
          <w:rFonts w:ascii="仿宋_GB2312" w:eastAsia="仿宋_GB2312" w:hAnsi="Times New Roman"/>
          <w:sz w:val="32"/>
          <w:szCs w:val="32"/>
        </w:rPr>
        <w:t>四个善作善成</w:t>
      </w:r>
      <w:r w:rsidR="00944944" w:rsidRPr="00511D3B">
        <w:rPr>
          <w:rFonts w:ascii="仿宋_GB2312" w:eastAsia="仿宋_GB2312" w:hAnsi="Times New Roman"/>
          <w:sz w:val="32"/>
          <w:szCs w:val="32"/>
        </w:rPr>
        <w:t>”</w:t>
      </w:r>
      <w:r w:rsidR="00944944" w:rsidRPr="00511D3B">
        <w:rPr>
          <w:rFonts w:ascii="仿宋_GB2312" w:eastAsia="仿宋_GB2312" w:hAnsi="Times New Roman"/>
          <w:sz w:val="32"/>
          <w:szCs w:val="32"/>
        </w:rPr>
        <w:t>重要要求</w:t>
      </w:r>
      <w:r w:rsidR="00944944" w:rsidRPr="00511D3B">
        <w:rPr>
          <w:rFonts w:ascii="仿宋_GB2312" w:eastAsia="仿宋_GB2312" w:hAnsi="Times New Roman" w:hint="eastAsia"/>
          <w:sz w:val="32"/>
          <w:szCs w:val="32"/>
        </w:rPr>
        <w:t>,</w:t>
      </w:r>
      <w:r w:rsidR="00944944" w:rsidRPr="00511D3B">
        <w:rPr>
          <w:rFonts w:ascii="仿宋_GB2312" w:eastAsia="仿宋_GB2312" w:hAnsi="Times New Roman"/>
          <w:sz w:val="32"/>
          <w:szCs w:val="32"/>
        </w:rPr>
        <w:t>推进信用体系建设</w:t>
      </w:r>
      <w:r w:rsidRPr="00511D3B">
        <w:rPr>
          <w:rFonts w:ascii="仿宋_GB2312" w:eastAsia="仿宋_GB2312" w:hAnsi="Times New Roman" w:hint="eastAsia"/>
          <w:sz w:val="32"/>
          <w:szCs w:val="32"/>
        </w:rPr>
        <w:t>，</w:t>
      </w:r>
      <w:r w:rsidR="00944944" w:rsidRPr="00511D3B">
        <w:rPr>
          <w:rFonts w:ascii="仿宋_GB2312" w:eastAsia="仿宋_GB2312" w:hAnsi="Times New Roman"/>
          <w:sz w:val="32"/>
          <w:szCs w:val="32"/>
        </w:rPr>
        <w:t>充分运用年报公示、</w:t>
      </w:r>
      <w:r w:rsidR="00C25ACB" w:rsidRPr="00511D3B">
        <w:rPr>
          <w:rFonts w:ascii="仿宋_GB2312" w:eastAsia="仿宋_GB2312" w:hAnsi="Times New Roman" w:hint="eastAsia"/>
          <w:sz w:val="32"/>
          <w:szCs w:val="32"/>
        </w:rPr>
        <w:t>网格化监管</w:t>
      </w:r>
      <w:r w:rsidR="00C25ACB">
        <w:rPr>
          <w:rFonts w:ascii="仿宋_GB2312" w:eastAsia="仿宋_GB2312" w:hAnsi="Times New Roman" w:hint="eastAsia"/>
          <w:sz w:val="32"/>
          <w:szCs w:val="32"/>
        </w:rPr>
        <w:t>、</w:t>
      </w:r>
      <w:r w:rsidR="00944944" w:rsidRPr="00511D3B">
        <w:rPr>
          <w:rFonts w:ascii="仿宋_GB2312" w:eastAsia="仿宋_GB2312" w:hAnsi="Times New Roman"/>
          <w:sz w:val="32"/>
          <w:szCs w:val="32"/>
        </w:rPr>
        <w:t>“</w:t>
      </w:r>
      <w:r w:rsidR="00944944" w:rsidRPr="00511D3B">
        <w:rPr>
          <w:rFonts w:ascii="仿宋_GB2312" w:eastAsia="仿宋_GB2312" w:hAnsi="Times New Roman"/>
          <w:sz w:val="32"/>
          <w:szCs w:val="32"/>
        </w:rPr>
        <w:t>双随机、</w:t>
      </w:r>
      <w:proofErr w:type="gramStart"/>
      <w:r w:rsidR="00944944" w:rsidRPr="00511D3B">
        <w:rPr>
          <w:rFonts w:ascii="仿宋_GB2312" w:eastAsia="仿宋_GB2312" w:hAnsi="Times New Roman"/>
          <w:sz w:val="32"/>
          <w:szCs w:val="32"/>
        </w:rPr>
        <w:t>一</w:t>
      </w:r>
      <w:proofErr w:type="gramEnd"/>
      <w:r w:rsidR="00944944" w:rsidRPr="00511D3B">
        <w:rPr>
          <w:rFonts w:ascii="仿宋_GB2312" w:eastAsia="仿宋_GB2312" w:hAnsi="Times New Roman"/>
          <w:sz w:val="32"/>
          <w:szCs w:val="32"/>
        </w:rPr>
        <w:t>公开</w:t>
      </w:r>
      <w:r w:rsidR="00944944" w:rsidRPr="00511D3B">
        <w:rPr>
          <w:rFonts w:ascii="仿宋_GB2312" w:eastAsia="仿宋_GB2312" w:hAnsi="Times New Roman"/>
          <w:sz w:val="32"/>
          <w:szCs w:val="32"/>
        </w:rPr>
        <w:t>”</w:t>
      </w:r>
      <w:r w:rsidR="005A2716">
        <w:rPr>
          <w:rFonts w:ascii="仿宋_GB2312" w:eastAsia="仿宋_GB2312" w:hAnsi="Times New Roman"/>
          <w:sz w:val="32"/>
          <w:szCs w:val="32"/>
        </w:rPr>
        <w:t>抽查</w:t>
      </w:r>
      <w:r w:rsidR="00944944" w:rsidRPr="00511D3B">
        <w:rPr>
          <w:rFonts w:ascii="仿宋_GB2312" w:eastAsia="仿宋_GB2312" w:hAnsi="Times New Roman"/>
          <w:sz w:val="32"/>
          <w:szCs w:val="32"/>
        </w:rPr>
        <w:t>、信用修复等信用监管工具，</w:t>
      </w:r>
      <w:proofErr w:type="gramStart"/>
      <w:r w:rsidR="00944944" w:rsidRPr="00511D3B">
        <w:rPr>
          <w:rFonts w:ascii="仿宋_GB2312" w:eastAsia="仿宋_GB2312" w:hAnsi="Times New Roman" w:hint="eastAsia"/>
          <w:sz w:val="32"/>
          <w:szCs w:val="32"/>
        </w:rPr>
        <w:t>夯实事</w:t>
      </w:r>
      <w:proofErr w:type="gramEnd"/>
      <w:r w:rsidR="00944944" w:rsidRPr="00511D3B">
        <w:rPr>
          <w:rFonts w:ascii="仿宋_GB2312" w:eastAsia="仿宋_GB2312" w:hAnsi="Times New Roman" w:hint="eastAsia"/>
          <w:sz w:val="32"/>
          <w:szCs w:val="32"/>
        </w:rPr>
        <w:t>中事后监管</w:t>
      </w:r>
      <w:r w:rsidR="00C25ACB">
        <w:rPr>
          <w:rFonts w:ascii="仿宋_GB2312" w:eastAsia="仿宋_GB2312" w:hAnsi="Times New Roman" w:hint="eastAsia"/>
          <w:sz w:val="32"/>
          <w:szCs w:val="32"/>
        </w:rPr>
        <w:t>，</w:t>
      </w:r>
      <w:r w:rsidR="000549FC">
        <w:rPr>
          <w:rFonts w:ascii="仿宋_GB2312" w:eastAsia="仿宋_GB2312" w:hAnsi="Times New Roman" w:hint="eastAsia"/>
          <w:sz w:val="32"/>
          <w:szCs w:val="32"/>
        </w:rPr>
        <w:t>推</w:t>
      </w:r>
      <w:r w:rsidR="00944944" w:rsidRPr="00511D3B">
        <w:rPr>
          <w:rFonts w:ascii="仿宋_GB2312" w:eastAsia="仿宋_GB2312" w:hAnsi="Times New Roman"/>
          <w:sz w:val="32"/>
          <w:szCs w:val="32"/>
        </w:rPr>
        <w:t>动滨海新区营商环境</w:t>
      </w:r>
      <w:r w:rsidR="000549FC" w:rsidRPr="00511D3B">
        <w:rPr>
          <w:rFonts w:ascii="仿宋_GB2312" w:eastAsia="仿宋_GB2312" w:hAnsi="Times New Roman" w:hint="eastAsia"/>
          <w:sz w:val="32"/>
          <w:szCs w:val="32"/>
        </w:rPr>
        <w:t>持续</w:t>
      </w:r>
      <w:r w:rsidR="00944944" w:rsidRPr="00511D3B">
        <w:rPr>
          <w:rFonts w:ascii="仿宋_GB2312" w:eastAsia="仿宋_GB2312" w:hAnsi="Times New Roman"/>
          <w:sz w:val="32"/>
          <w:szCs w:val="32"/>
        </w:rPr>
        <w:t>向好向优</w:t>
      </w:r>
      <w:r w:rsidRPr="00511D3B">
        <w:rPr>
          <w:rFonts w:ascii="仿宋_GB2312" w:eastAsia="仿宋_GB2312" w:hAnsi="Times New Roman" w:hint="eastAsia"/>
          <w:sz w:val="32"/>
          <w:szCs w:val="32"/>
        </w:rPr>
        <w:t>。</w:t>
      </w:r>
    </w:p>
    <w:p w:rsidR="00452CA6" w:rsidRPr="00511D3B" w:rsidRDefault="00452CA6" w:rsidP="00452CA6">
      <w:pPr>
        <w:snapToGrid w:val="0"/>
        <w:spacing w:line="620" w:lineRule="exact"/>
        <w:ind w:firstLineChars="200" w:firstLine="640"/>
        <w:contextualSpacing/>
        <w:jc w:val="left"/>
        <w:rPr>
          <w:rFonts w:ascii="黑体" w:eastAsia="黑体" w:hAnsi="黑体"/>
          <w:sz w:val="32"/>
          <w:szCs w:val="32"/>
        </w:rPr>
      </w:pPr>
      <w:r w:rsidRPr="00511D3B">
        <w:rPr>
          <w:rFonts w:ascii="黑体" w:eastAsia="黑体" w:hAnsi="黑体"/>
          <w:sz w:val="32"/>
          <w:szCs w:val="32"/>
        </w:rPr>
        <w:t>一、</w:t>
      </w:r>
      <w:r w:rsidRPr="00511D3B">
        <w:rPr>
          <w:rFonts w:ascii="黑体" w:eastAsia="黑体" w:hAnsi="黑体" w:hint="eastAsia"/>
          <w:sz w:val="32"/>
          <w:szCs w:val="32"/>
        </w:rPr>
        <w:t>做好年度报告</w:t>
      </w:r>
      <w:r w:rsidR="00713EBD">
        <w:rPr>
          <w:rFonts w:ascii="黑体" w:eastAsia="黑体" w:hAnsi="黑体" w:hint="eastAsia"/>
          <w:sz w:val="32"/>
          <w:szCs w:val="32"/>
        </w:rPr>
        <w:t>公示</w:t>
      </w:r>
      <w:r w:rsidRPr="00511D3B">
        <w:rPr>
          <w:rFonts w:ascii="黑体" w:eastAsia="黑体" w:hAnsi="黑体" w:hint="eastAsia"/>
          <w:sz w:val="32"/>
          <w:szCs w:val="32"/>
        </w:rPr>
        <w:t>，强化“公示即监管”意识</w:t>
      </w:r>
    </w:p>
    <w:p w:rsidR="00452CA6" w:rsidRPr="00511D3B" w:rsidRDefault="00591637" w:rsidP="00452CA6">
      <w:pPr>
        <w:snapToGrid w:val="0"/>
        <w:spacing w:line="620" w:lineRule="exact"/>
        <w:ind w:firstLineChars="200" w:firstLine="640"/>
        <w:contextualSpacing/>
        <w:rPr>
          <w:rFonts w:ascii="仿宋_GB2312" w:eastAsia="仿宋_GB2312" w:hAnsi="Times New Roman"/>
          <w:sz w:val="32"/>
          <w:szCs w:val="32"/>
        </w:rPr>
      </w:pPr>
      <w:r w:rsidRPr="00511D3B">
        <w:rPr>
          <w:rFonts w:ascii="仿宋_GB2312" w:eastAsia="仿宋_GB2312" w:hAnsi="Times New Roman" w:hint="eastAsia"/>
          <w:sz w:val="32"/>
          <w:szCs w:val="32"/>
        </w:rPr>
        <w:t>落实“系统谋划，精准年报、服务贯穿、信用提升”的总体要求，</w:t>
      </w:r>
      <w:r w:rsidR="00A53419" w:rsidRPr="00511D3B">
        <w:rPr>
          <w:rFonts w:ascii="仿宋_GB2312" w:eastAsia="仿宋_GB2312" w:hAnsi="Times New Roman" w:hint="eastAsia"/>
          <w:sz w:val="32"/>
          <w:szCs w:val="32"/>
        </w:rPr>
        <w:t>深入推进企业年报“多报合一”</w:t>
      </w:r>
      <w:r w:rsidR="00452CA6" w:rsidRPr="00511D3B">
        <w:rPr>
          <w:rFonts w:ascii="仿宋_GB2312" w:eastAsia="仿宋_GB2312" w:hAnsi="Times New Roman" w:hint="eastAsia"/>
          <w:sz w:val="32"/>
          <w:szCs w:val="32"/>
        </w:rPr>
        <w:t>，</w:t>
      </w:r>
      <w:r w:rsidR="00A53419" w:rsidRPr="00511D3B">
        <w:rPr>
          <w:rFonts w:ascii="仿宋_GB2312" w:eastAsia="仿宋_GB2312" w:hAnsi="Times New Roman" w:hint="eastAsia"/>
          <w:sz w:val="32"/>
          <w:szCs w:val="32"/>
        </w:rPr>
        <w:t>继续优化与税务部门的数据对接机制，加大政策宣传力度</w:t>
      </w:r>
      <w:r w:rsidR="00452CA6" w:rsidRPr="00511D3B">
        <w:rPr>
          <w:rFonts w:ascii="仿宋_GB2312" w:eastAsia="仿宋_GB2312" w:hAnsi="Times New Roman" w:hint="eastAsia"/>
          <w:sz w:val="32"/>
          <w:szCs w:val="32"/>
        </w:rPr>
        <w:t>，主动服务市场主体，</w:t>
      </w:r>
      <w:r w:rsidR="00861A48">
        <w:rPr>
          <w:rFonts w:ascii="仿宋_GB2312" w:eastAsia="仿宋_GB2312" w:hAnsi="Times New Roman" w:hint="eastAsia"/>
          <w:sz w:val="32"/>
          <w:szCs w:val="32"/>
        </w:rPr>
        <w:t>引导帮扶</w:t>
      </w:r>
      <w:r w:rsidR="00A53419" w:rsidRPr="00511D3B">
        <w:rPr>
          <w:rFonts w:ascii="仿宋_GB2312" w:eastAsia="仿宋_GB2312" w:hAnsi="Times New Roman" w:hint="eastAsia"/>
          <w:sz w:val="32"/>
          <w:szCs w:val="32"/>
        </w:rPr>
        <w:t>辖区大型企业、疫苗生产企业、特种设备生产企业100%应报尽报。</w:t>
      </w:r>
      <w:r w:rsidR="00A53419" w:rsidRPr="00511D3B">
        <w:rPr>
          <w:rFonts w:ascii="仿宋_GB2312" w:eastAsia="仿宋_GB2312" w:hAnsi="Times New Roman"/>
          <w:sz w:val="32"/>
          <w:szCs w:val="32"/>
        </w:rPr>
        <w:t xml:space="preserve"> </w:t>
      </w:r>
    </w:p>
    <w:p w:rsidR="00452CA6" w:rsidRPr="00511D3B" w:rsidRDefault="00452CA6" w:rsidP="0024621C">
      <w:pPr>
        <w:snapToGrid w:val="0"/>
        <w:spacing w:line="620" w:lineRule="exact"/>
        <w:ind w:firstLineChars="200" w:firstLine="640"/>
        <w:contextualSpacing/>
        <w:jc w:val="left"/>
        <w:rPr>
          <w:rFonts w:ascii="仿宋_GB2312" w:eastAsia="仿宋_GB2312" w:hAnsi="Times New Roman"/>
          <w:sz w:val="32"/>
          <w:szCs w:val="32"/>
        </w:rPr>
      </w:pPr>
      <w:r w:rsidRPr="00511D3B">
        <w:rPr>
          <w:rFonts w:ascii="仿宋_GB2312" w:eastAsia="仿宋_GB2312" w:hAnsi="Times New Roman" w:hint="eastAsia"/>
          <w:sz w:val="32"/>
          <w:szCs w:val="32"/>
        </w:rPr>
        <w:t>一是</w:t>
      </w:r>
      <w:r w:rsidR="008511F3" w:rsidRPr="00511D3B">
        <w:rPr>
          <w:rFonts w:ascii="仿宋_GB2312" w:eastAsia="仿宋_GB2312" w:hAnsi="Times New Roman"/>
          <w:sz w:val="32"/>
          <w:szCs w:val="32"/>
        </w:rPr>
        <w:t>主动进位服务</w:t>
      </w:r>
      <w:r w:rsidR="008511F3" w:rsidRPr="00511D3B">
        <w:rPr>
          <w:rFonts w:ascii="仿宋_GB2312" w:eastAsia="仿宋_GB2312" w:hAnsi="Times New Roman" w:hint="eastAsia"/>
          <w:sz w:val="32"/>
          <w:szCs w:val="32"/>
        </w:rPr>
        <w:t>，加大年报宣传力度</w:t>
      </w:r>
      <w:r w:rsidR="008511F3" w:rsidRPr="00511D3B">
        <w:rPr>
          <w:rFonts w:ascii="仿宋_GB2312" w:eastAsia="仿宋_GB2312" w:hAnsi="Times New Roman" w:hint="eastAsia"/>
          <w:b/>
          <w:bCs/>
          <w:sz w:val="32"/>
          <w:szCs w:val="32"/>
        </w:rPr>
        <w:t>。</w:t>
      </w:r>
      <w:r w:rsidR="008511F3" w:rsidRPr="00511D3B">
        <w:rPr>
          <w:rFonts w:ascii="仿宋_GB2312" w:eastAsia="仿宋_GB2312" w:hAnsi="Times New Roman" w:hint="eastAsia"/>
          <w:sz w:val="32"/>
          <w:szCs w:val="32"/>
        </w:rPr>
        <w:t>印发《关于做好滨海新区经营主体2023年度年报公示工作的通知》，通过区局官方微博、公众号，从年报范围、年报时间、报送渠道、操作流程、申报内容、违反公示义务的法律后果等方面进行宣传。制作年报入口二维码，通过</w:t>
      </w:r>
      <w:proofErr w:type="gramStart"/>
      <w:r w:rsidR="008511F3" w:rsidRPr="00511D3B">
        <w:rPr>
          <w:rFonts w:ascii="仿宋_GB2312" w:eastAsia="仿宋_GB2312" w:hAnsi="Times New Roman" w:hint="eastAsia"/>
          <w:sz w:val="32"/>
          <w:szCs w:val="32"/>
        </w:rPr>
        <w:t>手机扫码直达</w:t>
      </w:r>
      <w:proofErr w:type="gramEnd"/>
      <w:r w:rsidR="008511F3" w:rsidRPr="00511D3B">
        <w:rPr>
          <w:rFonts w:ascii="仿宋_GB2312" w:eastAsia="仿宋_GB2312" w:hAnsi="Times New Roman" w:hint="eastAsia"/>
          <w:sz w:val="32"/>
          <w:szCs w:val="32"/>
        </w:rPr>
        <w:t>年报登录页面，进一步拓展填报渠道，提升填报效率。</w:t>
      </w:r>
    </w:p>
    <w:p w:rsidR="00452CA6" w:rsidRPr="00511D3B" w:rsidRDefault="00452CA6" w:rsidP="00BD6F9A">
      <w:pPr>
        <w:snapToGrid w:val="0"/>
        <w:spacing w:line="620" w:lineRule="exact"/>
        <w:ind w:firstLineChars="200" w:firstLine="640"/>
        <w:contextualSpacing/>
        <w:jc w:val="left"/>
        <w:rPr>
          <w:rFonts w:ascii="仿宋_GB2312" w:eastAsia="仿宋_GB2312" w:hAnsi="Times New Roman"/>
          <w:sz w:val="32"/>
          <w:szCs w:val="32"/>
        </w:rPr>
      </w:pPr>
      <w:r w:rsidRPr="00511D3B">
        <w:rPr>
          <w:rFonts w:ascii="仿宋_GB2312" w:eastAsia="仿宋_GB2312" w:hAnsi="Times New Roman" w:hint="eastAsia"/>
          <w:sz w:val="32"/>
          <w:szCs w:val="32"/>
        </w:rPr>
        <w:lastRenderedPageBreak/>
        <w:t>二是批量发送年报提示短信</w:t>
      </w:r>
      <w:r w:rsidR="00BD6F9A" w:rsidRPr="00511D3B">
        <w:rPr>
          <w:rFonts w:ascii="仿宋_GB2312" w:eastAsia="仿宋_GB2312" w:hAnsi="Times New Roman" w:hint="eastAsia"/>
          <w:sz w:val="32"/>
          <w:szCs w:val="32"/>
        </w:rPr>
        <w:t>近2万</w:t>
      </w:r>
      <w:r w:rsidRPr="00511D3B">
        <w:rPr>
          <w:rFonts w:ascii="仿宋_GB2312" w:eastAsia="仿宋_GB2312" w:hAnsi="Times New Roman" w:hint="eastAsia"/>
          <w:sz w:val="32"/>
          <w:szCs w:val="32"/>
        </w:rPr>
        <w:t>条</w:t>
      </w:r>
      <w:r w:rsidR="0024621C" w:rsidRPr="00511D3B">
        <w:rPr>
          <w:rFonts w:ascii="仿宋_GB2312" w:eastAsia="仿宋_GB2312" w:hAnsi="Times New Roman" w:hint="eastAsia"/>
          <w:sz w:val="32"/>
          <w:szCs w:val="32"/>
        </w:rPr>
        <w:t>，采用“点对点”的方式，</w:t>
      </w:r>
      <w:r w:rsidR="005A2716">
        <w:rPr>
          <w:rFonts w:ascii="仿宋_GB2312" w:eastAsia="仿宋_GB2312" w:hAnsi="Times New Roman" w:hint="eastAsia"/>
          <w:sz w:val="32"/>
          <w:szCs w:val="32"/>
        </w:rPr>
        <w:t>有</w:t>
      </w:r>
      <w:r w:rsidR="0024621C" w:rsidRPr="00511D3B">
        <w:rPr>
          <w:rFonts w:ascii="仿宋_GB2312" w:eastAsia="仿宋_GB2312" w:hAnsi="Times New Roman" w:hint="eastAsia"/>
          <w:sz w:val="32"/>
          <w:szCs w:val="32"/>
        </w:rPr>
        <w:t>针对性</w:t>
      </w:r>
      <w:r w:rsidR="00861A48">
        <w:rPr>
          <w:rFonts w:ascii="仿宋_GB2312" w:eastAsia="仿宋_GB2312" w:hAnsi="Times New Roman" w:hint="eastAsia"/>
          <w:sz w:val="32"/>
          <w:szCs w:val="32"/>
        </w:rPr>
        <w:t>提醒</w:t>
      </w:r>
      <w:r w:rsidR="0024621C" w:rsidRPr="00511D3B">
        <w:rPr>
          <w:rFonts w:ascii="仿宋_GB2312" w:eastAsia="仿宋_GB2312" w:hAnsi="Times New Roman" w:hint="eastAsia"/>
          <w:sz w:val="32"/>
          <w:szCs w:val="32"/>
        </w:rPr>
        <w:t>企业按时年报。</w:t>
      </w:r>
      <w:r w:rsidR="00861A48">
        <w:rPr>
          <w:rFonts w:ascii="仿宋_GB2312" w:eastAsia="仿宋_GB2312" w:hAnsi="Times New Roman" w:hint="eastAsia"/>
          <w:sz w:val="32"/>
          <w:szCs w:val="32"/>
        </w:rPr>
        <w:t>在日常监管中加大</w:t>
      </w:r>
      <w:r w:rsidR="00F13A00" w:rsidRPr="00511D3B">
        <w:rPr>
          <w:rFonts w:ascii="仿宋_GB2312" w:eastAsia="仿宋_GB2312" w:hAnsi="Times New Roman" w:hint="eastAsia"/>
          <w:sz w:val="32"/>
          <w:szCs w:val="32"/>
        </w:rPr>
        <w:t>对年报工作宣传</w:t>
      </w:r>
      <w:r w:rsidR="00861A48">
        <w:rPr>
          <w:rFonts w:ascii="仿宋_GB2312" w:eastAsia="仿宋_GB2312" w:hAnsi="Times New Roman" w:hint="eastAsia"/>
          <w:sz w:val="32"/>
          <w:szCs w:val="32"/>
        </w:rPr>
        <w:t>力度</w:t>
      </w:r>
      <w:r w:rsidR="0024621C" w:rsidRPr="00511D3B">
        <w:rPr>
          <w:rFonts w:ascii="仿宋_GB2312" w:eastAsia="仿宋_GB2312" w:hAnsi="Times New Roman" w:hint="eastAsia"/>
          <w:sz w:val="32"/>
          <w:szCs w:val="32"/>
        </w:rPr>
        <w:t>，发放各种宣传材料13000余份。</w:t>
      </w:r>
    </w:p>
    <w:p w:rsidR="00452CA6" w:rsidRPr="00511D3B" w:rsidRDefault="00452CA6" w:rsidP="00452CA6">
      <w:pPr>
        <w:snapToGrid w:val="0"/>
        <w:spacing w:line="620" w:lineRule="exact"/>
        <w:ind w:firstLineChars="200" w:firstLine="640"/>
        <w:contextualSpacing/>
        <w:rPr>
          <w:rFonts w:ascii="仿宋_GB2312" w:eastAsia="仿宋_GB2312" w:hAnsi="Times New Roman"/>
          <w:sz w:val="32"/>
          <w:szCs w:val="32"/>
        </w:rPr>
      </w:pPr>
      <w:r w:rsidRPr="00511D3B">
        <w:rPr>
          <w:rFonts w:ascii="仿宋_GB2312" w:eastAsia="仿宋_GB2312" w:hAnsi="Times New Roman" w:hint="eastAsia"/>
          <w:sz w:val="32"/>
          <w:szCs w:val="32"/>
        </w:rPr>
        <w:t>三是积极鼓励各单位依托商务秘书、招商部门、街道社区、工业园区、市场主办单位等第三方力量</w:t>
      </w:r>
      <w:r w:rsidR="000549FC">
        <w:rPr>
          <w:rFonts w:ascii="仿宋_GB2312" w:eastAsia="仿宋_GB2312" w:hAnsi="Times New Roman" w:hint="eastAsia"/>
          <w:sz w:val="32"/>
          <w:szCs w:val="32"/>
        </w:rPr>
        <w:t>，</w:t>
      </w:r>
      <w:r w:rsidR="00F13A00" w:rsidRPr="00511D3B">
        <w:rPr>
          <w:rFonts w:ascii="仿宋_GB2312" w:eastAsia="仿宋_GB2312" w:hAnsi="Times New Roman" w:hint="eastAsia"/>
          <w:sz w:val="32"/>
          <w:szCs w:val="32"/>
        </w:rPr>
        <w:t>主动服务，</w:t>
      </w:r>
      <w:r w:rsidRPr="00511D3B">
        <w:rPr>
          <w:rFonts w:ascii="仿宋_GB2312" w:eastAsia="仿宋_GB2312" w:hAnsi="Times New Roman" w:hint="eastAsia"/>
          <w:sz w:val="32"/>
          <w:szCs w:val="32"/>
        </w:rPr>
        <w:t>积极联系市场主体，</w:t>
      </w:r>
      <w:r w:rsidR="00F13A00" w:rsidRPr="00511D3B">
        <w:rPr>
          <w:rFonts w:ascii="仿宋_GB2312" w:eastAsia="仿宋_GB2312" w:hAnsi="Times New Roman" w:hint="eastAsia"/>
          <w:sz w:val="32"/>
          <w:szCs w:val="32"/>
        </w:rPr>
        <w:t>进行集中填报</w:t>
      </w:r>
      <w:r w:rsidRPr="00511D3B">
        <w:rPr>
          <w:rFonts w:ascii="仿宋_GB2312" w:eastAsia="仿宋_GB2312" w:hAnsi="Times New Roman" w:hint="eastAsia"/>
          <w:sz w:val="32"/>
          <w:szCs w:val="32"/>
        </w:rPr>
        <w:t>。</w:t>
      </w:r>
    </w:p>
    <w:p w:rsidR="00BB34D3" w:rsidRPr="00511D3B" w:rsidRDefault="00452CA6" w:rsidP="00C25ACB">
      <w:pPr>
        <w:snapToGrid w:val="0"/>
        <w:spacing w:line="620" w:lineRule="exact"/>
        <w:ind w:firstLineChars="200" w:firstLine="640"/>
        <w:contextualSpacing/>
        <w:rPr>
          <w:rFonts w:ascii="仿宋_GB2312" w:eastAsia="仿宋_GB2312" w:hAnsi="Times New Roman"/>
          <w:sz w:val="32"/>
          <w:szCs w:val="32"/>
        </w:rPr>
      </w:pPr>
      <w:r w:rsidRPr="00511D3B">
        <w:rPr>
          <w:rFonts w:ascii="仿宋_GB2312" w:eastAsia="仿宋_GB2312" w:hAnsi="Times New Roman" w:hint="eastAsia"/>
          <w:sz w:val="32"/>
          <w:szCs w:val="32"/>
        </w:rPr>
        <w:t>202</w:t>
      </w:r>
      <w:r w:rsidR="00E6750E">
        <w:rPr>
          <w:rFonts w:ascii="仿宋_GB2312" w:eastAsia="仿宋_GB2312" w:hAnsi="Times New Roman" w:hint="eastAsia"/>
          <w:sz w:val="32"/>
          <w:szCs w:val="32"/>
        </w:rPr>
        <w:t>3</w:t>
      </w:r>
      <w:r w:rsidRPr="00511D3B">
        <w:rPr>
          <w:rFonts w:ascii="仿宋_GB2312" w:eastAsia="仿宋_GB2312" w:hAnsi="Times New Roman" w:hint="eastAsia"/>
          <w:sz w:val="32"/>
          <w:szCs w:val="32"/>
        </w:rPr>
        <w:t>年度年报</w:t>
      </w:r>
      <w:r w:rsidR="00344B35">
        <w:rPr>
          <w:rFonts w:ascii="仿宋_GB2312" w:eastAsia="仿宋_GB2312" w:hAnsi="Times New Roman" w:hint="eastAsia"/>
          <w:sz w:val="32"/>
          <w:szCs w:val="32"/>
        </w:rPr>
        <w:t>工作，</w:t>
      </w:r>
      <w:r w:rsidRPr="00511D3B">
        <w:rPr>
          <w:rFonts w:ascii="仿宋_GB2312" w:eastAsia="仿宋_GB2312" w:hAnsi="Times New Roman" w:hint="eastAsia"/>
          <w:sz w:val="32"/>
          <w:szCs w:val="32"/>
        </w:rPr>
        <w:t>滨海新区（含自贸区）应年报企业</w:t>
      </w:r>
      <w:r w:rsidR="003B02FA" w:rsidRPr="00511D3B">
        <w:rPr>
          <w:rFonts w:ascii="仿宋_GB2312" w:eastAsia="仿宋_GB2312" w:hAnsi="Times New Roman" w:hint="eastAsia"/>
          <w:sz w:val="32"/>
          <w:szCs w:val="32"/>
        </w:rPr>
        <w:t>185951</w:t>
      </w:r>
      <w:r w:rsidRPr="00511D3B">
        <w:rPr>
          <w:rFonts w:ascii="仿宋_GB2312" w:eastAsia="仿宋_GB2312" w:hAnsi="Times New Roman" w:hint="eastAsia"/>
          <w:sz w:val="32"/>
          <w:szCs w:val="32"/>
        </w:rPr>
        <w:t>户，实际公示</w:t>
      </w:r>
      <w:r w:rsidR="003B02FA" w:rsidRPr="00511D3B">
        <w:rPr>
          <w:rFonts w:ascii="仿宋_GB2312" w:eastAsia="仿宋_GB2312" w:hAnsi="Times New Roman" w:hint="eastAsia"/>
          <w:sz w:val="32"/>
          <w:szCs w:val="32"/>
        </w:rPr>
        <w:t>177249</w:t>
      </w:r>
      <w:r w:rsidRPr="00511D3B">
        <w:rPr>
          <w:rFonts w:ascii="仿宋_GB2312" w:eastAsia="仿宋_GB2312" w:hAnsi="Times New Roman" w:hint="eastAsia"/>
          <w:sz w:val="32"/>
          <w:szCs w:val="32"/>
        </w:rPr>
        <w:t>户，年度报告率9</w:t>
      </w:r>
      <w:r w:rsidR="00772DB1" w:rsidRPr="00511D3B">
        <w:rPr>
          <w:rFonts w:ascii="仿宋_GB2312" w:eastAsia="仿宋_GB2312" w:hAnsi="Times New Roman" w:hint="eastAsia"/>
          <w:sz w:val="32"/>
          <w:szCs w:val="32"/>
        </w:rPr>
        <w:t>5.32</w:t>
      </w:r>
      <w:r w:rsidRPr="00511D3B">
        <w:rPr>
          <w:rFonts w:ascii="仿宋_GB2312" w:eastAsia="仿宋_GB2312" w:hAnsi="Times New Roman" w:hint="eastAsia"/>
          <w:sz w:val="32"/>
          <w:szCs w:val="32"/>
        </w:rPr>
        <w:t>%</w:t>
      </w:r>
      <w:r w:rsidR="00BB34D3" w:rsidRPr="00511D3B">
        <w:rPr>
          <w:rFonts w:ascii="仿宋_GB2312" w:eastAsia="仿宋_GB2312" w:hAnsi="Times New Roman" w:hint="eastAsia"/>
          <w:sz w:val="32"/>
          <w:szCs w:val="32"/>
        </w:rPr>
        <w:t>（其中163家大型企业、1家疫苗生产企业以及190家特种设备生产企业年报率均达到100%）</w:t>
      </w:r>
      <w:r w:rsidRPr="00511D3B">
        <w:rPr>
          <w:rFonts w:ascii="仿宋_GB2312" w:eastAsia="仿宋_GB2312" w:hAnsi="Times New Roman" w:hint="eastAsia"/>
          <w:sz w:val="32"/>
          <w:szCs w:val="32"/>
        </w:rPr>
        <w:t>，</w:t>
      </w:r>
      <w:r w:rsidR="00BB34D3" w:rsidRPr="00511D3B">
        <w:rPr>
          <w:rFonts w:ascii="仿宋_GB2312" w:eastAsia="仿宋_GB2312" w:hAnsi="Times New Roman" w:hint="eastAsia"/>
          <w:sz w:val="32"/>
          <w:szCs w:val="32"/>
        </w:rPr>
        <w:t>较2022年度提升0.42%，较2021年度提升4.45%，近</w:t>
      </w:r>
      <w:proofErr w:type="gramStart"/>
      <w:r w:rsidR="00BB34D3" w:rsidRPr="00511D3B">
        <w:rPr>
          <w:rFonts w:ascii="仿宋_GB2312" w:eastAsia="仿宋_GB2312" w:hAnsi="Times New Roman" w:hint="eastAsia"/>
          <w:sz w:val="32"/>
          <w:szCs w:val="32"/>
        </w:rPr>
        <w:t>三</w:t>
      </w:r>
      <w:proofErr w:type="gramEnd"/>
      <w:r w:rsidR="00BB34D3" w:rsidRPr="00511D3B">
        <w:rPr>
          <w:rFonts w:ascii="仿宋_GB2312" w:eastAsia="仿宋_GB2312" w:hAnsi="Times New Roman" w:hint="eastAsia"/>
          <w:sz w:val="32"/>
          <w:szCs w:val="32"/>
        </w:rPr>
        <w:t>年度呈现良好发展趋势。</w:t>
      </w:r>
      <w:r w:rsidR="00BB34D3" w:rsidRPr="00511D3B">
        <w:rPr>
          <w:rFonts w:ascii="仿宋_GB2312" w:eastAsia="仿宋_GB2312" w:hAnsi="Times New Roman"/>
          <w:sz w:val="32"/>
          <w:szCs w:val="32"/>
        </w:rPr>
        <w:t xml:space="preserve"> </w:t>
      </w:r>
    </w:p>
    <w:p w:rsidR="00835861" w:rsidRDefault="00452CA6" w:rsidP="00835861">
      <w:pPr>
        <w:snapToGrid w:val="0"/>
        <w:spacing w:line="620" w:lineRule="exact"/>
        <w:contextualSpacing/>
        <w:jc w:val="center"/>
        <w:rPr>
          <w:rFonts w:ascii="仿宋_GB2312" w:eastAsia="仿宋_GB2312" w:hAnsi="Times New Roman"/>
          <w:sz w:val="28"/>
          <w:szCs w:val="28"/>
        </w:rPr>
      </w:pPr>
      <w:r w:rsidRPr="00511D3B">
        <w:rPr>
          <w:rFonts w:ascii="宋体" w:hAnsi="宋体" w:hint="eastAsia"/>
          <w:sz w:val="28"/>
          <w:szCs w:val="28"/>
        </w:rPr>
        <w:t>图一 近</w:t>
      </w:r>
      <w:proofErr w:type="gramStart"/>
      <w:r w:rsidRPr="00511D3B">
        <w:rPr>
          <w:rFonts w:ascii="宋体" w:hAnsi="宋体" w:hint="eastAsia"/>
          <w:sz w:val="28"/>
          <w:szCs w:val="28"/>
        </w:rPr>
        <w:t>三</w:t>
      </w:r>
      <w:proofErr w:type="gramEnd"/>
      <w:r w:rsidRPr="00511D3B">
        <w:rPr>
          <w:rFonts w:ascii="宋体" w:hAnsi="宋体" w:hint="eastAsia"/>
          <w:sz w:val="28"/>
          <w:szCs w:val="28"/>
        </w:rPr>
        <w:t>年度企业年报率对比</w:t>
      </w:r>
    </w:p>
    <w:p w:rsidR="00452CA6" w:rsidRPr="00835861" w:rsidRDefault="00172394" w:rsidP="00835861">
      <w:pPr>
        <w:snapToGrid w:val="0"/>
        <w:spacing w:line="620" w:lineRule="exact"/>
        <w:contextualSpacing/>
        <w:jc w:val="center"/>
        <w:rPr>
          <w:rFonts w:ascii="仿宋_GB2312" w:eastAsia="仿宋_GB2312"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2.45pt;margin-top:20.3pt;width:473.8pt;height:282.3pt;z-index:251662336">
            <v:imagedata r:id="rId8" o:title=""/>
            <o:lock v:ext="edit" aspectratio="f"/>
          </v:shape>
          <o:OLEObject Type="Embed" ProgID="Excel.Sheet.8" ShapeID="_x0000_s1029" DrawAspect="Content" ObjectID="_1800775884" r:id="rId9"/>
        </w:pict>
      </w: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Default="00452CA6" w:rsidP="00452CA6">
      <w:pPr>
        <w:snapToGrid w:val="0"/>
        <w:spacing w:line="620" w:lineRule="exact"/>
        <w:contextualSpacing/>
      </w:pPr>
    </w:p>
    <w:p w:rsidR="00C25ACB" w:rsidRPr="00511D3B" w:rsidRDefault="00C25ACB" w:rsidP="00452CA6">
      <w:pPr>
        <w:snapToGrid w:val="0"/>
        <w:spacing w:line="620" w:lineRule="exact"/>
        <w:contextualSpacing/>
      </w:pPr>
    </w:p>
    <w:p w:rsidR="00835861" w:rsidRPr="00835861" w:rsidRDefault="00BB34D3" w:rsidP="00835861">
      <w:pPr>
        <w:snapToGrid w:val="0"/>
        <w:spacing w:line="620" w:lineRule="exact"/>
        <w:ind w:firstLineChars="200" w:firstLine="640"/>
        <w:contextualSpacing/>
        <w:rPr>
          <w:rFonts w:ascii="仿宋_GB2312" w:eastAsia="仿宋_GB2312" w:hAnsi="Times New Roman"/>
          <w:sz w:val="32"/>
          <w:szCs w:val="32"/>
        </w:rPr>
      </w:pPr>
      <w:r w:rsidRPr="00511D3B">
        <w:rPr>
          <w:rFonts w:ascii="仿宋_GB2312" w:eastAsia="仿宋_GB2312" w:hAnsi="Times New Roman" w:hint="eastAsia"/>
          <w:sz w:val="32"/>
          <w:szCs w:val="32"/>
        </w:rPr>
        <w:t>2023年度应年报个体工商户150470户，实际公示142658户，年度报告率94.81%，较上一年度下降1</w:t>
      </w:r>
      <w:r w:rsidRPr="00E52DE5">
        <w:rPr>
          <w:rFonts w:ascii="仿宋_GB2312" w:eastAsia="仿宋_GB2312" w:hAnsi="Times New Roman" w:hint="eastAsia"/>
          <w:sz w:val="32"/>
          <w:szCs w:val="32"/>
        </w:rPr>
        <w:t>.46%</w:t>
      </w:r>
      <w:r w:rsidR="001B427B" w:rsidRPr="00172394">
        <w:rPr>
          <w:rFonts w:ascii="仿宋_GB2312" w:eastAsia="仿宋_GB2312" w:hAnsi="Times New Roman" w:hint="eastAsia"/>
          <w:sz w:val="32"/>
          <w:szCs w:val="32"/>
        </w:rPr>
        <w:t>。</w:t>
      </w:r>
    </w:p>
    <w:p w:rsidR="00452CA6" w:rsidRPr="00511D3B" w:rsidRDefault="00172394" w:rsidP="0077014B">
      <w:pPr>
        <w:snapToGrid w:val="0"/>
        <w:spacing w:line="620" w:lineRule="exact"/>
        <w:contextualSpacing/>
        <w:jc w:val="center"/>
        <w:rPr>
          <w:rFonts w:ascii="仿宋_GB2312" w:eastAsia="仿宋_GB2312" w:hAnsi="Times New Roman"/>
          <w:sz w:val="28"/>
          <w:szCs w:val="28"/>
        </w:rPr>
      </w:pPr>
      <w:r>
        <w:rPr>
          <w:sz w:val="28"/>
          <w:szCs w:val="28"/>
        </w:rPr>
        <w:pict>
          <v:shape id="_x0000_s1030" type="#_x0000_t75" style="position:absolute;left:0;text-align:left;margin-left:1.05pt;margin-top:20.35pt;width:459.55pt;height:220.5pt;z-index:251663360">
            <v:imagedata r:id="rId10" o:title=""/>
            <o:lock v:ext="edit" aspectratio="f"/>
          </v:shape>
          <o:OLEObject Type="Embed" ProgID="Excel.Sheet.8" ShapeID="_x0000_s1030" DrawAspect="Content" ObjectID="_1800775885" r:id="rId11"/>
        </w:pict>
      </w:r>
      <w:r w:rsidR="00452CA6" w:rsidRPr="00511D3B">
        <w:rPr>
          <w:rFonts w:ascii="宋体" w:hAnsi="宋体" w:hint="eastAsia"/>
          <w:sz w:val="28"/>
          <w:szCs w:val="28"/>
        </w:rPr>
        <w:t>图二 近</w:t>
      </w:r>
      <w:proofErr w:type="gramStart"/>
      <w:r w:rsidR="00452CA6" w:rsidRPr="00511D3B">
        <w:rPr>
          <w:rFonts w:ascii="宋体" w:hAnsi="宋体" w:hint="eastAsia"/>
          <w:sz w:val="28"/>
          <w:szCs w:val="28"/>
        </w:rPr>
        <w:t>三</w:t>
      </w:r>
      <w:proofErr w:type="gramEnd"/>
      <w:r w:rsidR="00452CA6" w:rsidRPr="00511D3B">
        <w:rPr>
          <w:rFonts w:ascii="宋体" w:hAnsi="宋体" w:hint="eastAsia"/>
          <w:sz w:val="28"/>
          <w:szCs w:val="28"/>
        </w:rPr>
        <w:t>年度个体工商户年报率对比</w:t>
      </w:r>
    </w:p>
    <w:p w:rsidR="00452CA6" w:rsidRPr="00511D3B" w:rsidRDefault="00452CA6" w:rsidP="00835861">
      <w:pPr>
        <w:snapToGrid w:val="0"/>
        <w:spacing w:line="620" w:lineRule="exact"/>
        <w:ind w:firstLineChars="200" w:firstLine="640"/>
        <w:contextualSpacing/>
        <w:rPr>
          <w:rFonts w:ascii="仿宋_GB2312" w:eastAsia="仿宋_GB2312" w:hAnsi="Times New Roman"/>
          <w:sz w:val="32"/>
          <w:szCs w:val="32"/>
        </w:rPr>
      </w:pPr>
    </w:p>
    <w:p w:rsidR="00452CA6" w:rsidRPr="00511D3B" w:rsidRDefault="00452CA6" w:rsidP="00452CA6">
      <w:pPr>
        <w:snapToGrid w:val="0"/>
        <w:spacing w:line="620" w:lineRule="exact"/>
        <w:ind w:firstLineChars="200" w:firstLine="640"/>
        <w:contextualSpacing/>
        <w:rPr>
          <w:rFonts w:ascii="仿宋_GB2312" w:eastAsia="仿宋_GB2312" w:hAnsi="Times New Roman"/>
          <w:sz w:val="32"/>
          <w:szCs w:val="32"/>
        </w:rPr>
      </w:pPr>
    </w:p>
    <w:p w:rsidR="00452CA6" w:rsidRPr="00511D3B" w:rsidRDefault="00452CA6" w:rsidP="00452CA6">
      <w:pPr>
        <w:snapToGrid w:val="0"/>
        <w:spacing w:line="620" w:lineRule="exact"/>
        <w:ind w:firstLineChars="200" w:firstLine="640"/>
        <w:contextualSpacing/>
        <w:rPr>
          <w:rFonts w:ascii="仿宋_GB2312" w:eastAsia="仿宋_GB2312" w:hAnsi="Times New Roman"/>
          <w:sz w:val="32"/>
          <w:szCs w:val="32"/>
        </w:rPr>
      </w:pPr>
    </w:p>
    <w:p w:rsidR="00452CA6" w:rsidRPr="00511D3B" w:rsidRDefault="00452CA6" w:rsidP="00452CA6">
      <w:pPr>
        <w:snapToGrid w:val="0"/>
        <w:spacing w:line="620" w:lineRule="exact"/>
        <w:ind w:firstLineChars="200" w:firstLine="640"/>
        <w:contextualSpacing/>
        <w:rPr>
          <w:rFonts w:ascii="仿宋_GB2312" w:eastAsia="仿宋_GB2312" w:hAnsi="Times New Roman"/>
          <w:sz w:val="32"/>
          <w:szCs w:val="32"/>
        </w:rPr>
      </w:pPr>
    </w:p>
    <w:p w:rsidR="00452CA6" w:rsidRPr="00511D3B" w:rsidRDefault="00452CA6" w:rsidP="00002A8F">
      <w:pPr>
        <w:snapToGrid w:val="0"/>
        <w:spacing w:line="620" w:lineRule="exact"/>
        <w:ind w:firstLineChars="200" w:firstLine="640"/>
        <w:contextualSpacing/>
        <w:rPr>
          <w:rFonts w:ascii="仿宋_GB2312" w:eastAsia="仿宋_GB2312" w:hAnsi="Times New Roman"/>
          <w:sz w:val="32"/>
          <w:szCs w:val="32"/>
        </w:rPr>
      </w:pPr>
    </w:p>
    <w:p w:rsidR="00835861" w:rsidRDefault="00835861" w:rsidP="00835861">
      <w:pPr>
        <w:snapToGrid w:val="0"/>
        <w:spacing w:line="620" w:lineRule="exact"/>
        <w:ind w:firstLineChars="150" w:firstLine="480"/>
        <w:contextualSpacing/>
        <w:rPr>
          <w:rFonts w:ascii="仿宋_GB2312" w:eastAsia="仿宋_GB2312" w:hAnsi="Times New Roman"/>
          <w:sz w:val="32"/>
          <w:szCs w:val="32"/>
        </w:rPr>
      </w:pPr>
    </w:p>
    <w:p w:rsidR="00835861" w:rsidRPr="00835861" w:rsidRDefault="00835861" w:rsidP="00835861">
      <w:pPr>
        <w:snapToGrid w:val="0"/>
        <w:spacing w:line="620" w:lineRule="exact"/>
        <w:ind w:firstLineChars="150" w:firstLine="480"/>
        <w:contextualSpacing/>
        <w:rPr>
          <w:rFonts w:ascii="仿宋_GB2312" w:eastAsia="仿宋_GB2312" w:hAnsi="Times New Roman"/>
          <w:sz w:val="32"/>
          <w:szCs w:val="32"/>
        </w:rPr>
      </w:pPr>
      <w:r w:rsidRPr="00511D3B">
        <w:rPr>
          <w:rFonts w:ascii="仿宋_GB2312" w:eastAsia="仿宋_GB2312" w:hAnsi="Times New Roman" w:hint="eastAsia"/>
          <w:sz w:val="32"/>
          <w:szCs w:val="32"/>
        </w:rPr>
        <w:t>2023年度应年报农民专业合作社828户，均按时提交年报，年度报告率达到10</w:t>
      </w:r>
      <w:r w:rsidRPr="00E52DE5">
        <w:rPr>
          <w:rFonts w:ascii="仿宋_GB2312" w:eastAsia="仿宋_GB2312" w:hAnsi="Times New Roman"/>
          <w:sz w:val="32"/>
          <w:szCs w:val="32"/>
        </w:rPr>
        <w:t>0%</w:t>
      </w:r>
      <w:r w:rsidRPr="00172394">
        <w:rPr>
          <w:rFonts w:ascii="仿宋_GB2312" w:eastAsia="仿宋_GB2312" w:hAnsi="Times New Roman" w:hint="eastAsia"/>
          <w:sz w:val="32"/>
          <w:szCs w:val="32"/>
        </w:rPr>
        <w:t>。</w:t>
      </w:r>
    </w:p>
    <w:p w:rsidR="00452CA6" w:rsidRPr="00511D3B" w:rsidRDefault="00172394" w:rsidP="00452CA6">
      <w:pPr>
        <w:snapToGrid w:val="0"/>
        <w:spacing w:line="620" w:lineRule="exact"/>
        <w:contextualSpacing/>
        <w:jc w:val="center"/>
        <w:rPr>
          <w:rFonts w:ascii="仿宋_GB2312" w:eastAsia="仿宋_GB2312" w:hAnsi="Times New Roman"/>
          <w:sz w:val="28"/>
          <w:szCs w:val="28"/>
        </w:rPr>
      </w:pPr>
      <w:r>
        <w:pict>
          <v:shape id="_x0000_s1031" type="#_x0000_t75" style="position:absolute;left:0;text-align:left;margin-left:1.05pt;margin-top:24.6pt;width:413.8pt;height:230.5pt;z-index:251664384">
            <v:imagedata r:id="rId12" o:title=""/>
            <o:lock v:ext="edit" aspectratio="f"/>
          </v:shape>
          <o:OLEObject Type="Embed" ProgID="Excel.Sheet.8" ShapeID="_x0000_s1031" DrawAspect="Content" ObjectID="_1800775886" r:id="rId13"/>
        </w:pict>
      </w:r>
      <w:r w:rsidR="00452CA6" w:rsidRPr="00511D3B">
        <w:rPr>
          <w:rFonts w:ascii="宋体" w:hAnsi="宋体" w:hint="eastAsia"/>
          <w:sz w:val="28"/>
          <w:szCs w:val="28"/>
        </w:rPr>
        <w:t>图三 近</w:t>
      </w:r>
      <w:proofErr w:type="gramStart"/>
      <w:r w:rsidR="00452CA6" w:rsidRPr="00511D3B">
        <w:rPr>
          <w:rFonts w:ascii="宋体" w:hAnsi="宋体" w:hint="eastAsia"/>
          <w:sz w:val="28"/>
          <w:szCs w:val="28"/>
        </w:rPr>
        <w:t>三</w:t>
      </w:r>
      <w:proofErr w:type="gramEnd"/>
      <w:r w:rsidR="00452CA6" w:rsidRPr="00511D3B">
        <w:rPr>
          <w:rFonts w:ascii="宋体" w:hAnsi="宋体" w:hint="eastAsia"/>
          <w:sz w:val="28"/>
          <w:szCs w:val="28"/>
        </w:rPr>
        <w:t>年度农民专业合作社年报率对比</w:t>
      </w: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Pr="00511D3B" w:rsidRDefault="00452CA6" w:rsidP="00452CA6">
      <w:pPr>
        <w:snapToGrid w:val="0"/>
        <w:spacing w:line="620" w:lineRule="exact"/>
        <w:contextualSpacing/>
        <w:rPr>
          <w:rFonts w:ascii="仿宋_GB2312" w:eastAsia="仿宋_GB2312" w:hAnsi="Times New Roman"/>
          <w:sz w:val="32"/>
          <w:szCs w:val="32"/>
        </w:rPr>
      </w:pPr>
    </w:p>
    <w:p w:rsidR="00452CA6" w:rsidRPr="00511D3B" w:rsidRDefault="00452CA6" w:rsidP="00452CA6">
      <w:pPr>
        <w:snapToGrid w:val="0"/>
        <w:spacing w:line="620" w:lineRule="exact"/>
        <w:contextualSpacing/>
        <w:rPr>
          <w:rFonts w:ascii="仿宋_GB2312" w:eastAsia="仿宋_GB2312" w:hAnsi="Times New Roman"/>
          <w:sz w:val="32"/>
          <w:szCs w:val="32"/>
        </w:rPr>
      </w:pPr>
    </w:p>
    <w:p w:rsidR="00002A8F" w:rsidRPr="00511D3B" w:rsidRDefault="00002A8F" w:rsidP="00452CA6">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黑体" w:eastAsia="黑体" w:hAnsi="黑体"/>
          <w:sz w:val="32"/>
          <w:szCs w:val="32"/>
        </w:rPr>
      </w:pPr>
    </w:p>
    <w:p w:rsidR="000E0034" w:rsidRPr="00511D3B" w:rsidRDefault="000E0034" w:rsidP="00452CA6">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sidRPr="00511D3B">
        <w:rPr>
          <w:rFonts w:ascii="仿宋_GB2312" w:eastAsia="仿宋_GB2312" w:hAnsi="Times New Roman" w:hint="eastAsia"/>
          <w:sz w:val="32"/>
          <w:szCs w:val="32"/>
        </w:rPr>
        <w:t>天津市市场监管委向滨海新区人民政府发函</w:t>
      </w:r>
      <w:r w:rsidR="00344B35">
        <w:rPr>
          <w:rFonts w:ascii="仿宋_GB2312" w:eastAsia="仿宋_GB2312" w:hAnsi="Times New Roman" w:hint="eastAsia"/>
          <w:sz w:val="32"/>
          <w:szCs w:val="32"/>
        </w:rPr>
        <w:t>，</w:t>
      </w:r>
      <w:r w:rsidRPr="00511D3B">
        <w:rPr>
          <w:rFonts w:ascii="仿宋_GB2312" w:eastAsia="仿宋_GB2312" w:hAnsi="Times New Roman" w:hint="eastAsia"/>
          <w:sz w:val="32"/>
          <w:szCs w:val="32"/>
        </w:rPr>
        <w:t>对滨海新区市场监管局</w:t>
      </w:r>
      <w:r w:rsidR="00344B35">
        <w:rPr>
          <w:rFonts w:ascii="仿宋_GB2312" w:eastAsia="仿宋_GB2312" w:hAnsi="Times New Roman" w:hint="eastAsia"/>
          <w:sz w:val="32"/>
          <w:szCs w:val="32"/>
        </w:rPr>
        <w:t>在</w:t>
      </w:r>
      <w:r w:rsidRPr="00511D3B">
        <w:rPr>
          <w:rFonts w:ascii="仿宋_GB2312" w:eastAsia="仿宋_GB2312" w:hAnsi="Times New Roman" w:hint="eastAsia"/>
          <w:sz w:val="32"/>
          <w:szCs w:val="32"/>
        </w:rPr>
        <w:t>2023年度经营主体年报工作中</w:t>
      </w:r>
      <w:r w:rsidR="00344B35">
        <w:rPr>
          <w:rFonts w:ascii="仿宋_GB2312" w:eastAsia="仿宋_GB2312" w:hAnsi="Times New Roman" w:hint="eastAsia"/>
          <w:sz w:val="32"/>
          <w:szCs w:val="32"/>
        </w:rPr>
        <w:t>，</w:t>
      </w:r>
      <w:r w:rsidRPr="00511D3B">
        <w:rPr>
          <w:rFonts w:ascii="仿宋_GB2312" w:eastAsia="仿宋_GB2312" w:hAnsi="Times New Roman" w:hint="eastAsia"/>
          <w:sz w:val="32"/>
          <w:szCs w:val="32"/>
        </w:rPr>
        <w:t>为提升经营主体信用合</w:t>
      </w:r>
      <w:proofErr w:type="gramStart"/>
      <w:r w:rsidRPr="00511D3B">
        <w:rPr>
          <w:rFonts w:ascii="仿宋_GB2312" w:eastAsia="仿宋_GB2312" w:hAnsi="Times New Roman" w:hint="eastAsia"/>
          <w:sz w:val="32"/>
          <w:szCs w:val="32"/>
        </w:rPr>
        <w:t>规</w:t>
      </w:r>
      <w:proofErr w:type="gramEnd"/>
      <w:r w:rsidRPr="00511D3B">
        <w:rPr>
          <w:rFonts w:ascii="仿宋_GB2312" w:eastAsia="仿宋_GB2312" w:hAnsi="Times New Roman" w:hint="eastAsia"/>
          <w:sz w:val="32"/>
          <w:szCs w:val="32"/>
        </w:rPr>
        <w:t>水平</w:t>
      </w:r>
      <w:r w:rsidR="00344B35">
        <w:rPr>
          <w:rFonts w:ascii="仿宋_GB2312" w:eastAsia="仿宋_GB2312" w:hAnsi="Times New Roman" w:hint="eastAsia"/>
          <w:sz w:val="32"/>
          <w:szCs w:val="32"/>
        </w:rPr>
        <w:t>、</w:t>
      </w:r>
      <w:r w:rsidRPr="00511D3B">
        <w:rPr>
          <w:rFonts w:ascii="仿宋_GB2312" w:eastAsia="仿宋_GB2312" w:hAnsi="Times New Roman" w:hint="eastAsia"/>
          <w:sz w:val="32"/>
          <w:szCs w:val="32"/>
        </w:rPr>
        <w:t>推进市场监管“一流营商环境建设工程”做出的积极努力表示感谢。</w:t>
      </w:r>
    </w:p>
    <w:p w:rsidR="001D3667" w:rsidRPr="00511D3B" w:rsidRDefault="001E0958" w:rsidP="001D3667">
      <w:pPr>
        <w:pBdr>
          <w:top w:val="none" w:sz="0" w:space="0" w:color="000000"/>
          <w:left w:val="none" w:sz="0" w:space="0" w:color="000000"/>
          <w:bottom w:val="none" w:sz="0" w:space="22" w:color="000000"/>
          <w:right w:val="none" w:sz="0" w:space="0" w:color="000000"/>
        </w:pBdr>
        <w:autoSpaceDN w:val="0"/>
        <w:spacing w:line="600" w:lineRule="exact"/>
        <w:ind w:firstLineChars="200" w:firstLine="640"/>
        <w:contextualSpacing/>
        <w:textAlignment w:val="top"/>
        <w:rPr>
          <w:rFonts w:ascii="楷体_GB2312" w:eastAsia="楷体_GB2312"/>
          <w:b/>
          <w:kern w:val="0"/>
          <w:sz w:val="32"/>
          <w:szCs w:val="32"/>
        </w:rPr>
      </w:pPr>
      <w:r w:rsidRPr="00511D3B">
        <w:rPr>
          <w:rFonts w:ascii="黑体" w:eastAsia="黑体" w:hAnsi="黑体" w:hint="eastAsia"/>
          <w:sz w:val="32"/>
          <w:szCs w:val="32"/>
        </w:rPr>
        <w:t>二</w:t>
      </w:r>
      <w:r w:rsidRPr="00511D3B">
        <w:rPr>
          <w:rFonts w:ascii="黑体" w:eastAsia="黑体" w:hAnsi="黑体"/>
          <w:sz w:val="32"/>
          <w:szCs w:val="32"/>
        </w:rPr>
        <w:t>、</w:t>
      </w:r>
      <w:r w:rsidR="00AD063C">
        <w:rPr>
          <w:rFonts w:ascii="黑体" w:eastAsia="黑体" w:hAnsi="黑体" w:hint="eastAsia"/>
          <w:sz w:val="32"/>
          <w:szCs w:val="32"/>
        </w:rPr>
        <w:t>深化</w:t>
      </w:r>
      <w:r w:rsidR="00ED0BB1">
        <w:rPr>
          <w:rFonts w:ascii="黑体" w:eastAsia="黑体" w:hAnsi="黑体" w:hint="eastAsia"/>
          <w:sz w:val="32"/>
          <w:szCs w:val="32"/>
        </w:rPr>
        <w:t>网格化</w:t>
      </w:r>
      <w:r w:rsidR="00AD063C">
        <w:rPr>
          <w:rFonts w:ascii="黑体" w:eastAsia="黑体" w:hAnsi="黑体" w:hint="eastAsia"/>
          <w:sz w:val="32"/>
          <w:szCs w:val="32"/>
        </w:rPr>
        <w:t>模式</w:t>
      </w:r>
      <w:r w:rsidRPr="00511D3B">
        <w:rPr>
          <w:rFonts w:ascii="黑体" w:eastAsia="黑体" w:hAnsi="黑体" w:hint="eastAsia"/>
          <w:sz w:val="32"/>
          <w:szCs w:val="32"/>
        </w:rPr>
        <w:t>，</w:t>
      </w:r>
      <w:r w:rsidR="00AD063C">
        <w:rPr>
          <w:rFonts w:ascii="黑体" w:eastAsia="黑体" w:hAnsi="黑体" w:hint="eastAsia"/>
          <w:sz w:val="32"/>
          <w:szCs w:val="32"/>
        </w:rPr>
        <w:t>打造监管滨海样板</w:t>
      </w:r>
      <w:r w:rsidR="00ED0BB1" w:rsidRPr="00511D3B">
        <w:rPr>
          <w:rFonts w:ascii="楷体_GB2312" w:eastAsia="楷体_GB2312"/>
          <w:b/>
          <w:kern w:val="0"/>
          <w:sz w:val="32"/>
          <w:szCs w:val="32"/>
        </w:rPr>
        <w:t xml:space="preserve"> </w:t>
      </w:r>
    </w:p>
    <w:p w:rsidR="001D3667" w:rsidRPr="00AA41C0" w:rsidRDefault="001E0958" w:rsidP="001D3667">
      <w:pPr>
        <w:pBdr>
          <w:top w:val="none" w:sz="0" w:space="0" w:color="000000"/>
          <w:left w:val="none" w:sz="0" w:space="0" w:color="000000"/>
          <w:bottom w:val="none" w:sz="0" w:space="22" w:color="000000"/>
          <w:right w:val="none" w:sz="0" w:space="0" w:color="000000"/>
        </w:pBdr>
        <w:autoSpaceDN w:val="0"/>
        <w:spacing w:line="600" w:lineRule="exact"/>
        <w:ind w:firstLineChars="200" w:firstLine="643"/>
        <w:contextualSpacing/>
        <w:textAlignment w:val="top"/>
        <w:rPr>
          <w:rFonts w:ascii="楷体_GB2312" w:eastAsia="楷体_GB2312"/>
          <w:b/>
          <w:kern w:val="0"/>
          <w:sz w:val="32"/>
          <w:szCs w:val="32"/>
        </w:rPr>
      </w:pPr>
      <w:r w:rsidRPr="00AA41C0">
        <w:rPr>
          <w:rFonts w:ascii="楷体_GB2312" w:eastAsia="楷体_GB2312" w:cs="仿宋_GB2312" w:hint="eastAsia"/>
          <w:b/>
          <w:sz w:val="32"/>
          <w:szCs w:val="32"/>
          <w:lang w:val="zh-CN"/>
        </w:rPr>
        <w:t>（一）</w:t>
      </w:r>
      <w:r w:rsidRPr="00AA41C0">
        <w:rPr>
          <w:rFonts w:ascii="楷体_GB2312" w:eastAsia="楷体_GB2312" w:hAnsi="楷体" w:cs="楷体" w:hint="eastAsia"/>
          <w:b/>
          <w:kern w:val="0"/>
          <w:sz w:val="32"/>
          <w:szCs w:val="32"/>
        </w:rPr>
        <w:t>网格动态调整，</w:t>
      </w:r>
      <w:r w:rsidR="00AD063C" w:rsidRPr="00AA41C0">
        <w:rPr>
          <w:rFonts w:ascii="楷体_GB2312" w:eastAsia="楷体_GB2312" w:cs="仿宋_GB2312" w:hint="eastAsia"/>
          <w:b/>
          <w:sz w:val="32"/>
          <w:szCs w:val="32"/>
          <w:lang w:val="zh-CN"/>
        </w:rPr>
        <w:t>确保</w:t>
      </w:r>
      <w:proofErr w:type="gramStart"/>
      <w:r w:rsidR="00AD063C" w:rsidRPr="00AA41C0">
        <w:rPr>
          <w:rFonts w:ascii="楷体_GB2312" w:eastAsia="楷体_GB2312" w:cs="仿宋_GB2312" w:hint="eastAsia"/>
          <w:b/>
          <w:sz w:val="32"/>
          <w:szCs w:val="32"/>
          <w:lang w:val="zh-CN"/>
        </w:rPr>
        <w:t>监管全</w:t>
      </w:r>
      <w:proofErr w:type="gramEnd"/>
      <w:r w:rsidR="00AD063C" w:rsidRPr="00AA41C0">
        <w:rPr>
          <w:rFonts w:ascii="楷体_GB2312" w:eastAsia="楷体_GB2312" w:cs="仿宋_GB2312" w:hint="eastAsia"/>
          <w:b/>
          <w:sz w:val="32"/>
          <w:szCs w:val="32"/>
          <w:lang w:val="zh-CN"/>
        </w:rPr>
        <w:t>覆盖</w:t>
      </w:r>
    </w:p>
    <w:p w:rsidR="001D3667" w:rsidRPr="00AA41C0" w:rsidRDefault="001E0958" w:rsidP="001D3667">
      <w:pPr>
        <w:pBdr>
          <w:top w:val="none" w:sz="0" w:space="0" w:color="000000"/>
          <w:left w:val="none" w:sz="0" w:space="0" w:color="000000"/>
          <w:bottom w:val="none" w:sz="0" w:space="22" w:color="000000"/>
          <w:right w:val="none" w:sz="0" w:space="0" w:color="000000"/>
        </w:pBdr>
        <w:autoSpaceDN w:val="0"/>
        <w:spacing w:line="600" w:lineRule="exact"/>
        <w:ind w:firstLineChars="200" w:firstLine="640"/>
        <w:contextualSpacing/>
        <w:textAlignment w:val="top"/>
        <w:rPr>
          <w:rFonts w:ascii="仿宋_GB2312" w:eastAsia="仿宋_GB2312" w:hAnsi="Times New Roman"/>
          <w:sz w:val="32"/>
          <w:szCs w:val="32"/>
        </w:rPr>
      </w:pPr>
      <w:r w:rsidRPr="00AA41C0">
        <w:rPr>
          <w:rFonts w:ascii="仿宋_GB2312" w:eastAsia="仿宋_GB2312" w:hAnsi="Times New Roman" w:hint="eastAsia"/>
          <w:sz w:val="32"/>
          <w:szCs w:val="32"/>
        </w:rPr>
        <w:t>划分356个监管网格并动态调整，148名网格责任人在网格内履行市场监管职能，对约17.5万户经营主体、400余户特殊市场主体进行全面监管，保证</w:t>
      </w:r>
      <w:proofErr w:type="gramStart"/>
      <w:r w:rsidRPr="00AA41C0">
        <w:rPr>
          <w:rFonts w:ascii="仿宋_GB2312" w:eastAsia="仿宋_GB2312" w:hAnsi="Times New Roman" w:hint="eastAsia"/>
          <w:sz w:val="32"/>
          <w:szCs w:val="32"/>
        </w:rPr>
        <w:t>监管全</w:t>
      </w:r>
      <w:proofErr w:type="gramEnd"/>
      <w:r w:rsidRPr="00AA41C0">
        <w:rPr>
          <w:rFonts w:ascii="仿宋_GB2312" w:eastAsia="仿宋_GB2312" w:hAnsi="Times New Roman" w:hint="eastAsia"/>
          <w:sz w:val="32"/>
          <w:szCs w:val="32"/>
        </w:rPr>
        <w:t>覆盖、无遗漏。2024年累计发布各类任务397项，检查市场主体12765家，发现并整改问题577项。网格化监管工作被天津日报、滨海电视台等多家媒体报道，入选全市2024年第三批“行风建设助力优化营商环境”</w:t>
      </w:r>
      <w:proofErr w:type="gramStart"/>
      <w:r w:rsidRPr="00AA41C0">
        <w:rPr>
          <w:rFonts w:ascii="仿宋_GB2312" w:eastAsia="仿宋_GB2312" w:hAnsi="Times New Roman" w:hint="eastAsia"/>
          <w:sz w:val="32"/>
          <w:szCs w:val="32"/>
        </w:rPr>
        <w:t>优秀实践</w:t>
      </w:r>
      <w:proofErr w:type="gramEnd"/>
      <w:r w:rsidRPr="00AA41C0">
        <w:rPr>
          <w:rFonts w:ascii="仿宋_GB2312" w:eastAsia="仿宋_GB2312" w:hAnsi="Times New Roman" w:hint="eastAsia"/>
          <w:sz w:val="32"/>
          <w:szCs w:val="32"/>
        </w:rPr>
        <w:t>案例。</w:t>
      </w:r>
    </w:p>
    <w:p w:rsidR="001D3667" w:rsidRPr="00AA41C0" w:rsidRDefault="001E0958" w:rsidP="001D3667">
      <w:pPr>
        <w:pBdr>
          <w:top w:val="none" w:sz="0" w:space="0" w:color="000000"/>
          <w:left w:val="none" w:sz="0" w:space="0" w:color="000000"/>
          <w:bottom w:val="none" w:sz="0" w:space="22" w:color="000000"/>
          <w:right w:val="none" w:sz="0" w:space="0" w:color="000000"/>
        </w:pBdr>
        <w:autoSpaceDN w:val="0"/>
        <w:spacing w:line="600" w:lineRule="exact"/>
        <w:ind w:firstLineChars="200" w:firstLine="643"/>
        <w:contextualSpacing/>
        <w:textAlignment w:val="top"/>
        <w:rPr>
          <w:rFonts w:ascii="楷体_GB2312" w:eastAsia="楷体_GB2312" w:cs="仿宋_GB2312"/>
          <w:b/>
          <w:sz w:val="32"/>
          <w:szCs w:val="32"/>
          <w:lang w:val="zh-CN"/>
        </w:rPr>
      </w:pPr>
      <w:r w:rsidRPr="00AA41C0">
        <w:rPr>
          <w:rFonts w:ascii="楷体_GB2312" w:eastAsia="楷体_GB2312" w:cs="仿宋_GB2312" w:hint="eastAsia"/>
          <w:b/>
          <w:sz w:val="32"/>
          <w:szCs w:val="32"/>
          <w:lang w:val="zh-CN"/>
        </w:rPr>
        <w:t>（二）完善顶层设计，</w:t>
      </w:r>
      <w:r w:rsidR="000E510A" w:rsidRPr="00AA41C0">
        <w:rPr>
          <w:rFonts w:ascii="楷体_GB2312" w:eastAsia="楷体_GB2312" w:cs="仿宋_GB2312" w:hint="eastAsia"/>
          <w:b/>
          <w:sz w:val="32"/>
          <w:szCs w:val="32"/>
          <w:lang w:val="zh-CN"/>
        </w:rPr>
        <w:t>优化系统功能</w:t>
      </w:r>
    </w:p>
    <w:p w:rsidR="001D3667" w:rsidRPr="00AA41C0" w:rsidRDefault="001E0958">
      <w:pPr>
        <w:pBdr>
          <w:top w:val="none" w:sz="0" w:space="0" w:color="000000"/>
          <w:left w:val="none" w:sz="0" w:space="0" w:color="000000"/>
          <w:bottom w:val="none" w:sz="0" w:space="22" w:color="000000"/>
          <w:right w:val="none" w:sz="0" w:space="0" w:color="000000"/>
        </w:pBdr>
        <w:autoSpaceDN w:val="0"/>
        <w:spacing w:line="600" w:lineRule="exact"/>
        <w:ind w:firstLineChars="200" w:firstLine="640"/>
        <w:contextualSpacing/>
        <w:textAlignment w:val="top"/>
        <w:rPr>
          <w:rFonts w:ascii="仿宋_GB2312" w:eastAsia="仿宋_GB2312" w:hAnsi="Times New Roman"/>
          <w:sz w:val="32"/>
          <w:szCs w:val="32"/>
        </w:rPr>
      </w:pPr>
      <w:r w:rsidRPr="00AA41C0">
        <w:rPr>
          <w:rFonts w:ascii="仿宋_GB2312" w:eastAsia="仿宋_GB2312" w:cs="仿宋_GB2312" w:hint="eastAsia"/>
          <w:sz w:val="32"/>
          <w:szCs w:val="32"/>
          <w:lang w:val="zh-CN"/>
        </w:rPr>
        <w:t>评选十佳网格责任人，召开网格化监管工作会议，组织网格化监管工作座谈会，印发《天津市滨海新区市场监督管理局网格化监督管理工作办法》</w:t>
      </w:r>
      <w:r w:rsidR="000E510A">
        <w:rPr>
          <w:rFonts w:ascii="仿宋_GB2312" w:eastAsia="仿宋_GB2312" w:cs="仿宋_GB2312" w:hint="eastAsia"/>
          <w:sz w:val="32"/>
          <w:szCs w:val="32"/>
          <w:lang w:val="zh-CN"/>
        </w:rPr>
        <w:t>等制度。</w:t>
      </w:r>
      <w:r w:rsidRPr="00AA41C0">
        <w:rPr>
          <w:rFonts w:ascii="仿宋_GB2312" w:eastAsia="仿宋_GB2312" w:hAnsi="Times New Roman" w:hint="eastAsia"/>
          <w:sz w:val="32"/>
          <w:szCs w:val="32"/>
        </w:rPr>
        <w:t>完成与天津市市场主体信用信息公示系统的数据对接，累计部署行政许可数据102312条，行政处罚数据2466条，经营异常数据21349条，严重违法失信数据694条。定制特种设备检查文书，</w:t>
      </w:r>
      <w:r w:rsidR="005A2716" w:rsidRPr="00AA41C0">
        <w:rPr>
          <w:rFonts w:ascii="仿宋_GB2312" w:eastAsia="仿宋_GB2312" w:hAnsi="Times New Roman" w:hint="eastAsia"/>
          <w:sz w:val="32"/>
          <w:szCs w:val="32"/>
        </w:rPr>
        <w:t>在手机</w:t>
      </w:r>
      <w:proofErr w:type="gramStart"/>
      <w:r w:rsidR="005A2716" w:rsidRPr="00AA41C0">
        <w:rPr>
          <w:rFonts w:ascii="仿宋_GB2312" w:eastAsia="仿宋_GB2312" w:hAnsi="Times New Roman" w:hint="eastAsia"/>
          <w:sz w:val="32"/>
          <w:szCs w:val="32"/>
        </w:rPr>
        <w:t>端部署</w:t>
      </w:r>
      <w:proofErr w:type="gramEnd"/>
      <w:r w:rsidR="005A2716" w:rsidRPr="00AA41C0">
        <w:rPr>
          <w:rFonts w:ascii="仿宋_GB2312" w:eastAsia="仿宋_GB2312" w:hAnsi="Times New Roman" w:hint="eastAsia"/>
          <w:sz w:val="32"/>
          <w:szCs w:val="32"/>
        </w:rPr>
        <w:t>“特种设备”模块</w:t>
      </w:r>
      <w:r w:rsidRPr="00AA41C0">
        <w:rPr>
          <w:rFonts w:ascii="仿宋_GB2312" w:eastAsia="仿宋_GB2312" w:hAnsi="Times New Roman" w:hint="eastAsia"/>
          <w:sz w:val="32"/>
          <w:szCs w:val="32"/>
        </w:rPr>
        <w:t>。电子执法文书一键送达，提高送达效率，共送达电子执法文书</w:t>
      </w:r>
      <w:r w:rsidR="00FC66A2" w:rsidRPr="00AA41C0">
        <w:rPr>
          <w:rFonts w:ascii="仿宋_GB2312" w:eastAsia="仿宋_GB2312" w:hAnsi="Times New Roman" w:hint="eastAsia"/>
          <w:sz w:val="32"/>
          <w:szCs w:val="32"/>
        </w:rPr>
        <w:t>27</w:t>
      </w:r>
      <w:r w:rsidRPr="00AA41C0">
        <w:rPr>
          <w:rFonts w:ascii="仿宋_GB2312" w:eastAsia="仿宋_GB2312" w:hAnsi="Times New Roman" w:hint="eastAsia"/>
          <w:sz w:val="32"/>
          <w:szCs w:val="32"/>
        </w:rPr>
        <w:t>份。</w:t>
      </w:r>
    </w:p>
    <w:p w:rsidR="001E0958" w:rsidRPr="00AA41C0" w:rsidRDefault="001E0958" w:rsidP="001D3667">
      <w:pPr>
        <w:pBdr>
          <w:top w:val="none" w:sz="0" w:space="0" w:color="000000"/>
          <w:left w:val="none" w:sz="0" w:space="0" w:color="000000"/>
          <w:bottom w:val="none" w:sz="0" w:space="22" w:color="000000"/>
          <w:right w:val="none" w:sz="0" w:space="0" w:color="000000"/>
        </w:pBdr>
        <w:autoSpaceDN w:val="0"/>
        <w:spacing w:line="600" w:lineRule="exact"/>
        <w:ind w:firstLineChars="200" w:firstLine="643"/>
        <w:contextualSpacing/>
        <w:textAlignment w:val="top"/>
        <w:rPr>
          <w:rFonts w:ascii="楷体_GB2312" w:eastAsia="楷体_GB2312" w:cs="仿宋_GB2312"/>
          <w:b/>
          <w:sz w:val="32"/>
          <w:szCs w:val="32"/>
          <w:lang w:val="zh-CN"/>
        </w:rPr>
      </w:pPr>
      <w:r w:rsidRPr="00AA41C0">
        <w:rPr>
          <w:rFonts w:ascii="楷体_GB2312" w:eastAsia="楷体_GB2312" w:cs="仿宋_GB2312" w:hint="eastAsia"/>
          <w:b/>
          <w:sz w:val="32"/>
          <w:szCs w:val="32"/>
          <w:lang w:val="zh-CN"/>
        </w:rPr>
        <w:t>（</w:t>
      </w:r>
      <w:r w:rsidR="000E510A">
        <w:rPr>
          <w:rFonts w:ascii="楷体_GB2312" w:eastAsia="楷体_GB2312" w:cs="仿宋_GB2312" w:hint="eastAsia"/>
          <w:b/>
          <w:sz w:val="32"/>
          <w:szCs w:val="32"/>
          <w:lang w:val="zh-CN"/>
        </w:rPr>
        <w:t>三</w:t>
      </w:r>
      <w:r w:rsidRPr="00AA41C0">
        <w:rPr>
          <w:rFonts w:ascii="楷体_GB2312" w:eastAsia="楷体_GB2312" w:cs="仿宋_GB2312" w:hint="eastAsia"/>
          <w:b/>
          <w:sz w:val="32"/>
          <w:szCs w:val="32"/>
          <w:lang w:val="zh-CN"/>
        </w:rPr>
        <w:t>）设立交流专刊，提升</w:t>
      </w:r>
      <w:proofErr w:type="gramStart"/>
      <w:r w:rsidR="00AD063C" w:rsidRPr="00AA41C0">
        <w:rPr>
          <w:rFonts w:ascii="楷体_GB2312" w:eastAsia="楷体_GB2312" w:cs="仿宋_GB2312" w:hint="eastAsia"/>
          <w:b/>
          <w:sz w:val="32"/>
          <w:szCs w:val="32"/>
          <w:lang w:val="zh-CN"/>
        </w:rPr>
        <w:t>履</w:t>
      </w:r>
      <w:proofErr w:type="gramEnd"/>
      <w:r w:rsidR="00AD063C" w:rsidRPr="00AA41C0">
        <w:rPr>
          <w:rFonts w:ascii="楷体_GB2312" w:eastAsia="楷体_GB2312" w:cs="仿宋_GB2312" w:hint="eastAsia"/>
          <w:b/>
          <w:sz w:val="32"/>
          <w:szCs w:val="32"/>
          <w:lang w:val="zh-CN"/>
        </w:rPr>
        <w:t>职</w:t>
      </w:r>
      <w:r w:rsidRPr="00AA41C0">
        <w:rPr>
          <w:rFonts w:ascii="楷体_GB2312" w:eastAsia="楷体_GB2312" w:cs="仿宋_GB2312" w:hint="eastAsia"/>
          <w:b/>
          <w:sz w:val="32"/>
          <w:szCs w:val="32"/>
          <w:lang w:val="zh-CN"/>
        </w:rPr>
        <w:t>能力</w:t>
      </w:r>
    </w:p>
    <w:p w:rsidR="00B61D47" w:rsidRPr="00AA41C0" w:rsidRDefault="001E0958" w:rsidP="00B61D47">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sz w:val="32"/>
          <w:szCs w:val="32"/>
        </w:rPr>
      </w:pPr>
      <w:r w:rsidRPr="00AA41C0">
        <w:rPr>
          <w:rFonts w:ascii="仿宋_GB2312" w:eastAsia="仿宋_GB2312" w:hint="eastAsia"/>
          <w:sz w:val="32"/>
          <w:szCs w:val="32"/>
        </w:rPr>
        <w:t>设立网格化监管交流专刊，进一步加强机关与各市场监管所之间的联系，发挥各业务</w:t>
      </w:r>
      <w:proofErr w:type="gramStart"/>
      <w:r w:rsidRPr="00AA41C0">
        <w:rPr>
          <w:rFonts w:ascii="仿宋_GB2312" w:eastAsia="仿宋_GB2312" w:hint="eastAsia"/>
          <w:sz w:val="32"/>
          <w:szCs w:val="32"/>
        </w:rPr>
        <w:t>室指导</w:t>
      </w:r>
      <w:proofErr w:type="gramEnd"/>
      <w:r w:rsidRPr="00AA41C0">
        <w:rPr>
          <w:rFonts w:ascii="仿宋_GB2312" w:eastAsia="仿宋_GB2312" w:hint="eastAsia"/>
          <w:sz w:val="32"/>
          <w:szCs w:val="32"/>
        </w:rPr>
        <w:t>作用，促进</w:t>
      </w:r>
      <w:proofErr w:type="gramStart"/>
      <w:r w:rsidRPr="00AA41C0">
        <w:rPr>
          <w:rFonts w:ascii="仿宋_GB2312" w:eastAsia="仿宋_GB2312" w:hint="eastAsia"/>
          <w:sz w:val="32"/>
          <w:szCs w:val="32"/>
        </w:rPr>
        <w:t>网格员能力</w:t>
      </w:r>
      <w:proofErr w:type="gramEnd"/>
      <w:r w:rsidRPr="00AA41C0">
        <w:rPr>
          <w:rFonts w:ascii="仿宋_GB2312" w:eastAsia="仿宋_GB2312" w:hint="eastAsia"/>
          <w:sz w:val="32"/>
          <w:szCs w:val="32"/>
        </w:rPr>
        <w:t>提升，培养一专多能的复合型市场监管干部，落实网格化监管实效。</w:t>
      </w:r>
    </w:p>
    <w:p w:rsidR="00452CA6" w:rsidRPr="00511D3B" w:rsidRDefault="00452CA6" w:rsidP="00B61D47">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黑体" w:eastAsia="黑体" w:hAnsi="黑体"/>
          <w:sz w:val="32"/>
          <w:szCs w:val="32"/>
        </w:rPr>
      </w:pPr>
      <w:r w:rsidRPr="00511D3B">
        <w:rPr>
          <w:rFonts w:ascii="黑体" w:eastAsia="黑体" w:hAnsi="黑体" w:hint="eastAsia"/>
          <w:sz w:val="32"/>
          <w:szCs w:val="32"/>
        </w:rPr>
        <w:t>三</w:t>
      </w:r>
      <w:r w:rsidRPr="00511D3B">
        <w:rPr>
          <w:rFonts w:ascii="黑体" w:eastAsia="黑体" w:hAnsi="黑体"/>
          <w:sz w:val="32"/>
          <w:szCs w:val="32"/>
        </w:rPr>
        <w:t>、</w:t>
      </w:r>
      <w:r w:rsidRPr="00511D3B">
        <w:rPr>
          <w:rFonts w:ascii="黑体" w:eastAsia="黑体" w:hAnsi="黑体" w:hint="eastAsia"/>
          <w:sz w:val="32"/>
          <w:szCs w:val="32"/>
        </w:rPr>
        <w:t>推进“双随机、</w:t>
      </w:r>
      <w:proofErr w:type="gramStart"/>
      <w:r w:rsidRPr="00511D3B">
        <w:rPr>
          <w:rFonts w:ascii="黑体" w:eastAsia="黑体" w:hAnsi="黑体" w:hint="eastAsia"/>
          <w:sz w:val="32"/>
          <w:szCs w:val="32"/>
        </w:rPr>
        <w:t>一</w:t>
      </w:r>
      <w:proofErr w:type="gramEnd"/>
      <w:r w:rsidRPr="00511D3B">
        <w:rPr>
          <w:rFonts w:ascii="黑体" w:eastAsia="黑体" w:hAnsi="黑体" w:hint="eastAsia"/>
          <w:sz w:val="32"/>
          <w:szCs w:val="32"/>
        </w:rPr>
        <w:t>公开”监管，持续优化营商环境</w:t>
      </w:r>
    </w:p>
    <w:p w:rsidR="001E0958" w:rsidRPr="00511D3B" w:rsidRDefault="001E0958" w:rsidP="001E0958">
      <w:pPr>
        <w:pBdr>
          <w:top w:val="none" w:sz="0" w:space="0" w:color="000000"/>
          <w:left w:val="none" w:sz="0" w:space="0" w:color="000000"/>
          <w:bottom w:val="none" w:sz="0" w:space="22" w:color="000000"/>
          <w:right w:val="none" w:sz="0" w:space="0" w:color="000000"/>
        </w:pBdr>
        <w:autoSpaceDN w:val="0"/>
        <w:spacing w:line="580" w:lineRule="exact"/>
        <w:ind w:firstLineChars="200" w:firstLine="643"/>
        <w:contextualSpacing/>
        <w:textAlignment w:val="top"/>
        <w:rPr>
          <w:rFonts w:ascii="楷体_GB2312" w:eastAsia="楷体_GB2312" w:hAnsi="楷体" w:cs="楷体"/>
          <w:b/>
          <w:sz w:val="32"/>
          <w:szCs w:val="32"/>
        </w:rPr>
      </w:pPr>
      <w:r w:rsidRPr="00511D3B">
        <w:rPr>
          <w:rFonts w:ascii="楷体_GB2312" w:eastAsia="楷体_GB2312" w:hAnsi="楷体" w:cs="楷体" w:hint="eastAsia"/>
          <w:b/>
          <w:sz w:val="32"/>
          <w:szCs w:val="32"/>
        </w:rPr>
        <w:t>（一）</w:t>
      </w:r>
      <w:r w:rsidR="00FC66A2" w:rsidRPr="00511D3B">
        <w:rPr>
          <w:rFonts w:ascii="楷体_GB2312" w:eastAsia="楷体_GB2312" w:hAnsi="楷体" w:cs="楷体" w:hint="eastAsia"/>
          <w:b/>
          <w:sz w:val="32"/>
          <w:szCs w:val="32"/>
        </w:rPr>
        <w:t>优化</w:t>
      </w:r>
      <w:r w:rsidRPr="00511D3B">
        <w:rPr>
          <w:rFonts w:ascii="楷体_GB2312" w:eastAsia="楷体_GB2312" w:hAnsi="楷体" w:cs="楷体" w:hint="eastAsia"/>
          <w:b/>
          <w:sz w:val="32"/>
          <w:szCs w:val="32"/>
        </w:rPr>
        <w:t>联合抽查</w:t>
      </w:r>
      <w:r w:rsidR="00FC66A2" w:rsidRPr="00511D3B">
        <w:rPr>
          <w:rFonts w:ascii="楷体_GB2312" w:eastAsia="楷体_GB2312" w:hAnsi="楷体" w:cs="楷体" w:hint="eastAsia"/>
          <w:b/>
          <w:sz w:val="32"/>
          <w:szCs w:val="32"/>
        </w:rPr>
        <w:t>事项</w:t>
      </w:r>
    </w:p>
    <w:p w:rsidR="001E0958" w:rsidRPr="00511D3B" w:rsidRDefault="001E0958" w:rsidP="001E0958">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楷体" w:eastAsia="楷体" w:hAnsi="楷体" w:cs="楷体"/>
          <w:b/>
          <w:sz w:val="32"/>
          <w:szCs w:val="32"/>
        </w:rPr>
      </w:pPr>
      <w:r w:rsidRPr="00511D3B">
        <w:rPr>
          <w:rFonts w:ascii="仿宋_GB2312" w:eastAsia="仿宋_GB2312" w:hAnsi="Times New Roman" w:hint="eastAsia"/>
          <w:sz w:val="32"/>
          <w:szCs w:val="32"/>
        </w:rPr>
        <w:t>编制《滨海新区市场监督管理局联合抽查事项清单（2024）》，2024年度共有</w:t>
      </w:r>
      <w:r w:rsidR="005A2716" w:rsidRPr="00511D3B">
        <w:rPr>
          <w:rFonts w:ascii="仿宋_GB2312" w:eastAsia="仿宋_GB2312" w:hAnsi="Times New Roman" w:hint="eastAsia"/>
          <w:sz w:val="32"/>
          <w:szCs w:val="32"/>
        </w:rPr>
        <w:t>54个</w:t>
      </w:r>
      <w:r w:rsidRPr="00511D3B">
        <w:rPr>
          <w:rFonts w:ascii="仿宋_GB2312" w:eastAsia="仿宋_GB2312" w:hAnsi="Times New Roman" w:hint="eastAsia"/>
          <w:sz w:val="32"/>
          <w:szCs w:val="32"/>
        </w:rPr>
        <w:t>联合抽查领域，</w:t>
      </w:r>
      <w:r w:rsidR="005A2716" w:rsidRPr="00511D3B">
        <w:rPr>
          <w:rFonts w:ascii="仿宋_GB2312" w:eastAsia="仿宋_GB2312" w:hAnsi="Times New Roman" w:hint="eastAsia"/>
          <w:sz w:val="32"/>
          <w:szCs w:val="32"/>
        </w:rPr>
        <w:t>24个</w:t>
      </w:r>
      <w:r w:rsidRPr="00511D3B">
        <w:rPr>
          <w:rFonts w:ascii="仿宋_GB2312" w:eastAsia="仿宋_GB2312" w:hAnsi="Times New Roman" w:hint="eastAsia"/>
          <w:sz w:val="32"/>
          <w:szCs w:val="32"/>
        </w:rPr>
        <w:t>联合抽查部门，覆盖面已连续四年为天津市各区之最，</w:t>
      </w:r>
      <w:proofErr w:type="gramStart"/>
      <w:r w:rsidR="00B61D47">
        <w:rPr>
          <w:rFonts w:ascii="仿宋_GB2312" w:eastAsia="仿宋_GB2312" w:hAnsi="Times New Roman" w:hint="eastAsia"/>
          <w:sz w:val="32"/>
          <w:szCs w:val="32"/>
        </w:rPr>
        <w:t>共</w:t>
      </w:r>
      <w:r w:rsidRPr="00511D3B">
        <w:rPr>
          <w:rFonts w:ascii="仿宋_GB2312" w:eastAsia="仿宋_GB2312" w:hint="eastAsia"/>
          <w:bCs/>
          <w:kern w:val="0"/>
          <w:sz w:val="32"/>
          <w:szCs w:val="32"/>
        </w:rPr>
        <w:t>联查对象</w:t>
      </w:r>
      <w:proofErr w:type="gramEnd"/>
      <w:r w:rsidRPr="00511D3B">
        <w:rPr>
          <w:rFonts w:ascii="仿宋_GB2312" w:eastAsia="仿宋_GB2312" w:hint="eastAsia"/>
          <w:bCs/>
          <w:kern w:val="0"/>
          <w:sz w:val="32"/>
          <w:szCs w:val="32"/>
        </w:rPr>
        <w:t>1759户，减少检查5908户次</w:t>
      </w:r>
      <w:r w:rsidRPr="00511D3B">
        <w:rPr>
          <w:rFonts w:ascii="仿宋_GB2312" w:eastAsia="仿宋_GB2312" w:hAnsi="Times New Roman" w:hint="eastAsia"/>
          <w:sz w:val="32"/>
          <w:szCs w:val="32"/>
        </w:rPr>
        <w:t>。</w:t>
      </w:r>
      <w:r w:rsidRPr="00511D3B">
        <w:rPr>
          <w:rFonts w:ascii="仿宋_GB2312" w:eastAsia="仿宋_GB2312" w:hint="eastAsia"/>
          <w:bCs/>
          <w:kern w:val="0"/>
          <w:sz w:val="32"/>
          <w:szCs w:val="32"/>
        </w:rPr>
        <w:t>编制《滨海新区市场监管局联合抽查事项清单（2024）》，涉及8个抽查领域，覆盖全局9个业务条线，共抽取800户，减少检查1556户次。</w:t>
      </w:r>
      <w:r w:rsidRPr="00511D3B">
        <w:rPr>
          <w:rFonts w:ascii="仿宋_GB2312" w:eastAsia="仿宋_GB2312" w:hAnsi="Times New Roman" w:hint="eastAsia"/>
          <w:sz w:val="32"/>
          <w:szCs w:val="32"/>
        </w:rPr>
        <w:t>推进信用风险分类与“双随机、</w:t>
      </w:r>
      <w:proofErr w:type="gramStart"/>
      <w:r w:rsidRPr="00511D3B">
        <w:rPr>
          <w:rFonts w:ascii="仿宋_GB2312" w:eastAsia="仿宋_GB2312" w:hAnsi="Times New Roman" w:hint="eastAsia"/>
          <w:sz w:val="32"/>
          <w:szCs w:val="32"/>
        </w:rPr>
        <w:t>一</w:t>
      </w:r>
      <w:proofErr w:type="gramEnd"/>
      <w:r w:rsidRPr="00511D3B">
        <w:rPr>
          <w:rFonts w:ascii="仿宋_GB2312" w:eastAsia="仿宋_GB2312" w:hAnsi="Times New Roman" w:hint="eastAsia"/>
          <w:sz w:val="32"/>
          <w:szCs w:val="32"/>
        </w:rPr>
        <w:t>公开”监管的有机融合，进一步优化监管资源配置，实现差异化监管，2024年度全区共有</w:t>
      </w:r>
      <w:r w:rsidR="005A2716" w:rsidRPr="00511D3B">
        <w:rPr>
          <w:rFonts w:ascii="仿宋_GB2312" w:eastAsia="仿宋_GB2312" w:hAnsi="Times New Roman" w:hint="eastAsia"/>
          <w:sz w:val="32"/>
          <w:szCs w:val="32"/>
        </w:rPr>
        <w:t>38个</w:t>
      </w:r>
      <w:r w:rsidR="005A2716">
        <w:rPr>
          <w:rFonts w:ascii="仿宋_GB2312" w:eastAsia="仿宋_GB2312" w:hAnsi="Times New Roman" w:hint="eastAsia"/>
          <w:sz w:val="32"/>
          <w:szCs w:val="32"/>
        </w:rPr>
        <w:t>部门</w:t>
      </w:r>
      <w:r w:rsidR="005A2716" w:rsidRPr="00511D3B">
        <w:rPr>
          <w:rFonts w:ascii="仿宋_GB2312" w:eastAsia="仿宋_GB2312" w:hAnsi="Times New Roman" w:hint="eastAsia"/>
          <w:sz w:val="32"/>
          <w:szCs w:val="32"/>
        </w:rPr>
        <w:t>联合抽查任务</w:t>
      </w:r>
      <w:r w:rsidR="005A2716">
        <w:rPr>
          <w:rFonts w:ascii="仿宋_GB2312" w:eastAsia="仿宋_GB2312" w:hAnsi="Times New Roman" w:hint="eastAsia"/>
          <w:sz w:val="32"/>
          <w:szCs w:val="32"/>
        </w:rPr>
        <w:t>，</w:t>
      </w:r>
      <w:r w:rsidRPr="00511D3B">
        <w:rPr>
          <w:rFonts w:ascii="仿宋_GB2312" w:eastAsia="仿宋_GB2312" w:hAnsi="Times New Roman" w:hint="eastAsia"/>
          <w:sz w:val="32"/>
          <w:szCs w:val="32"/>
        </w:rPr>
        <w:t>90个局内任务进行了分类抽取。</w:t>
      </w:r>
    </w:p>
    <w:p w:rsidR="001E0958" w:rsidRPr="00511D3B" w:rsidRDefault="001E0958" w:rsidP="001E0958">
      <w:pPr>
        <w:pBdr>
          <w:top w:val="none" w:sz="0" w:space="0" w:color="000000"/>
          <w:left w:val="none" w:sz="0" w:space="0" w:color="000000"/>
          <w:bottom w:val="none" w:sz="0" w:space="22" w:color="000000"/>
          <w:right w:val="none" w:sz="0" w:space="0" w:color="000000"/>
        </w:pBdr>
        <w:autoSpaceDN w:val="0"/>
        <w:spacing w:line="580" w:lineRule="exact"/>
        <w:ind w:firstLineChars="200" w:firstLine="643"/>
        <w:contextualSpacing/>
        <w:textAlignment w:val="top"/>
        <w:rPr>
          <w:rFonts w:ascii="楷体_GB2312" w:eastAsia="楷体_GB2312" w:hAnsi="楷体" w:cs="楷体"/>
          <w:b/>
          <w:sz w:val="32"/>
          <w:szCs w:val="32"/>
        </w:rPr>
      </w:pPr>
      <w:r w:rsidRPr="00511D3B">
        <w:rPr>
          <w:rFonts w:ascii="楷体_GB2312" w:eastAsia="楷体_GB2312" w:hAnsi="楷体" w:cs="楷体" w:hint="eastAsia"/>
          <w:b/>
          <w:sz w:val="32"/>
          <w:szCs w:val="32"/>
        </w:rPr>
        <w:t>（二）开展登记事项和公示信息抽查</w:t>
      </w:r>
    </w:p>
    <w:p w:rsidR="001E0958" w:rsidRPr="009762C5" w:rsidRDefault="001E0958" w:rsidP="001E0958">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楷体" w:cs="楷体"/>
          <w:b/>
          <w:sz w:val="32"/>
          <w:szCs w:val="32"/>
        </w:rPr>
      </w:pPr>
      <w:r w:rsidRPr="009762C5">
        <w:rPr>
          <w:rFonts w:ascii="仿宋_GB2312" w:eastAsia="仿宋_GB2312" w:hAnsi="Times New Roman" w:hint="eastAsia"/>
          <w:sz w:val="32"/>
          <w:szCs w:val="32"/>
        </w:rPr>
        <w:lastRenderedPageBreak/>
        <w:t>2024年共建立随机抽查任务21个，对6130户经营主体开展登记事项和公示信息随机抽查，其中检查结果为“未发现问题”比例为78.8%，“通过登记的住所（经营场所）无法联系”比例为15.4%，“不配合检查情节严重”比例为0.2%，整体问题发现率为21.2%。检查结果均通过天津市市场主体信用信息公示系统对外公示。滨海新区市场监管局根据检查结果，做好分析应用，统筹年报与长期停业未经营主体清理工作，持续提升经营主体质量。</w:t>
      </w:r>
    </w:p>
    <w:p w:rsidR="001E0958" w:rsidRPr="00511D3B" w:rsidRDefault="001E0958" w:rsidP="001E0958">
      <w:pPr>
        <w:pBdr>
          <w:top w:val="none" w:sz="0" w:space="0" w:color="000000"/>
          <w:left w:val="none" w:sz="0" w:space="0" w:color="000000"/>
          <w:bottom w:val="none" w:sz="0" w:space="22" w:color="000000"/>
          <w:right w:val="none" w:sz="0" w:space="0" w:color="000000"/>
        </w:pBdr>
        <w:autoSpaceDN w:val="0"/>
        <w:spacing w:line="580" w:lineRule="exact"/>
        <w:ind w:firstLineChars="200" w:firstLine="643"/>
        <w:contextualSpacing/>
        <w:textAlignment w:val="top"/>
        <w:rPr>
          <w:rFonts w:ascii="仿宋_GB2312" w:eastAsia="仿宋_GB2312" w:hAnsi="Times New Roman"/>
          <w:sz w:val="32"/>
          <w:szCs w:val="32"/>
        </w:rPr>
      </w:pPr>
      <w:r w:rsidRPr="00511D3B">
        <w:rPr>
          <w:rFonts w:ascii="楷体_GB2312" w:eastAsia="楷体_GB2312" w:hAnsi="楷体" w:cs="楷体" w:hint="eastAsia"/>
          <w:b/>
          <w:sz w:val="32"/>
          <w:szCs w:val="32"/>
        </w:rPr>
        <w:t>（</w:t>
      </w:r>
      <w:r w:rsidR="00B61D47">
        <w:rPr>
          <w:rFonts w:ascii="楷体_GB2312" w:eastAsia="楷体_GB2312" w:hAnsi="楷体" w:cs="楷体" w:hint="eastAsia"/>
          <w:b/>
          <w:sz w:val="32"/>
          <w:szCs w:val="32"/>
        </w:rPr>
        <w:t>三</w:t>
      </w:r>
      <w:r w:rsidRPr="00511D3B">
        <w:rPr>
          <w:rFonts w:ascii="楷体_GB2312" w:eastAsia="楷体_GB2312" w:hAnsi="楷体" w:cs="楷体" w:hint="eastAsia"/>
          <w:b/>
          <w:sz w:val="32"/>
          <w:szCs w:val="32"/>
        </w:rPr>
        <w:t>）开展大型企业年报公示信息抽查</w:t>
      </w:r>
    </w:p>
    <w:p w:rsidR="001E0958" w:rsidRPr="009762C5" w:rsidRDefault="001E0958" w:rsidP="001E0958">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sidRPr="009762C5">
        <w:rPr>
          <w:rFonts w:ascii="仿宋_GB2312" w:eastAsia="仿宋_GB2312" w:hAnsi="Times New Roman" w:hint="eastAsia"/>
          <w:sz w:val="32"/>
          <w:szCs w:val="32"/>
        </w:rPr>
        <w:t>为贯彻落实党中央、国务院关于清理拖欠企业账款工作的决策部署，严格执行《保障中小企业款项支付条例》有关规定，</w:t>
      </w:r>
      <w:r w:rsidR="009762C5" w:rsidRPr="009762C5">
        <w:rPr>
          <w:rFonts w:ascii="仿宋_GB2312" w:eastAsia="仿宋_GB2312" w:hAnsi="Times New Roman" w:hint="eastAsia"/>
          <w:sz w:val="32"/>
          <w:szCs w:val="32"/>
        </w:rPr>
        <w:t>2024</w:t>
      </w:r>
      <w:r w:rsidRPr="009762C5">
        <w:rPr>
          <w:rFonts w:ascii="仿宋_GB2312" w:eastAsia="仿宋_GB2312" w:hAnsi="Times New Roman" w:hint="eastAsia"/>
          <w:sz w:val="32"/>
          <w:szCs w:val="32"/>
        </w:rPr>
        <w:t>年度重点对大型企业年报中披露逾期未支付中小企业款项信息进行规范，</w:t>
      </w:r>
      <w:r w:rsidRPr="009762C5">
        <w:rPr>
          <w:rFonts w:ascii="仿宋_GB2312" w:eastAsia="仿宋_GB2312" w:hint="eastAsia"/>
          <w:sz w:val="32"/>
          <w:szCs w:val="32"/>
        </w:rPr>
        <w:t>共计对</w:t>
      </w:r>
      <w:r w:rsidR="009762C5" w:rsidRPr="009762C5">
        <w:rPr>
          <w:rFonts w:ascii="仿宋_GB2312" w:eastAsia="仿宋_GB2312" w:hint="eastAsia"/>
          <w:sz w:val="32"/>
          <w:szCs w:val="32"/>
        </w:rPr>
        <w:t>118</w:t>
      </w:r>
      <w:r w:rsidRPr="009762C5">
        <w:rPr>
          <w:rFonts w:ascii="仿宋_GB2312" w:eastAsia="仿宋_GB2312" w:hint="eastAsia"/>
          <w:sz w:val="32"/>
          <w:szCs w:val="32"/>
        </w:rPr>
        <w:t>户大型企业开展抽查，</w:t>
      </w:r>
      <w:r w:rsidRPr="009762C5">
        <w:rPr>
          <w:rFonts w:ascii="仿宋_GB2312" w:eastAsia="仿宋_GB2312" w:hAnsi="Times New Roman" w:hint="eastAsia"/>
          <w:sz w:val="32"/>
          <w:szCs w:val="32"/>
        </w:rPr>
        <w:t>指导4户大型企业对外公示</w:t>
      </w:r>
      <w:r w:rsidRPr="009762C5">
        <w:rPr>
          <w:rFonts w:ascii="仿宋_GB2312" w:eastAsia="仿宋_GB2312" w:hint="eastAsia"/>
          <w:sz w:val="32"/>
          <w:szCs w:val="32"/>
        </w:rPr>
        <w:t>逾期尚未支付中小企业款项的合同数量500个，逾期尚未支付中小款项合同金额24566.18586万元，维护中小企业合法权益的同时引导大型企业健康发展。</w:t>
      </w:r>
    </w:p>
    <w:p w:rsidR="00452CA6" w:rsidRPr="00511D3B" w:rsidRDefault="00452CA6" w:rsidP="00452CA6">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黑体" w:eastAsia="黑体" w:hAnsi="黑体"/>
          <w:sz w:val="32"/>
          <w:szCs w:val="32"/>
        </w:rPr>
      </w:pPr>
      <w:r w:rsidRPr="00511D3B">
        <w:rPr>
          <w:rFonts w:ascii="黑体" w:eastAsia="黑体" w:hAnsi="黑体" w:hint="eastAsia"/>
          <w:sz w:val="32"/>
          <w:szCs w:val="32"/>
        </w:rPr>
        <w:t>四</w:t>
      </w:r>
      <w:r w:rsidRPr="00511D3B">
        <w:rPr>
          <w:rFonts w:ascii="黑体" w:eastAsia="黑体" w:hAnsi="黑体"/>
          <w:sz w:val="32"/>
          <w:szCs w:val="32"/>
        </w:rPr>
        <w:t>、</w:t>
      </w:r>
      <w:r w:rsidRPr="00511D3B">
        <w:rPr>
          <w:rFonts w:ascii="黑体" w:eastAsia="黑体" w:hAnsi="黑体" w:hint="eastAsia"/>
          <w:sz w:val="32"/>
          <w:szCs w:val="32"/>
        </w:rPr>
        <w:t>开展信用信息修复，</w:t>
      </w:r>
      <w:r w:rsidR="0000623A" w:rsidRPr="00511D3B">
        <w:rPr>
          <w:rFonts w:ascii="黑体" w:eastAsia="黑体" w:hAnsi="黑体" w:hint="eastAsia"/>
          <w:sz w:val="32"/>
          <w:szCs w:val="32"/>
        </w:rPr>
        <w:t>提升市场主体诚信意识</w:t>
      </w:r>
    </w:p>
    <w:p w:rsidR="00452CA6" w:rsidRPr="00AA41C0" w:rsidRDefault="00452CA6" w:rsidP="00AA41C0">
      <w:pPr>
        <w:pBdr>
          <w:top w:val="none" w:sz="0" w:space="0" w:color="000000"/>
          <w:left w:val="none" w:sz="0" w:space="0" w:color="000000"/>
          <w:bottom w:val="none" w:sz="0" w:space="22" w:color="000000"/>
          <w:right w:val="none" w:sz="0" w:space="0" w:color="000000"/>
        </w:pBdr>
        <w:autoSpaceDN w:val="0"/>
        <w:spacing w:line="600" w:lineRule="exact"/>
        <w:ind w:firstLineChars="200" w:firstLine="643"/>
        <w:contextualSpacing/>
        <w:textAlignment w:val="top"/>
        <w:rPr>
          <w:rFonts w:ascii="楷体_GB2312" w:eastAsia="楷体_GB2312" w:cs="仿宋_GB2312"/>
          <w:b/>
          <w:sz w:val="32"/>
          <w:szCs w:val="32"/>
          <w:lang w:val="zh-CN"/>
        </w:rPr>
      </w:pPr>
      <w:r w:rsidRPr="00AA41C0">
        <w:rPr>
          <w:rFonts w:ascii="楷体_GB2312" w:eastAsia="楷体_GB2312" w:cs="仿宋_GB2312" w:hint="eastAsia"/>
          <w:b/>
          <w:sz w:val="32"/>
          <w:szCs w:val="32"/>
          <w:lang w:val="zh-CN"/>
        </w:rPr>
        <w:t>（一）</w:t>
      </w:r>
      <w:r w:rsidR="00B61D47" w:rsidRPr="00AA41C0">
        <w:rPr>
          <w:rFonts w:ascii="楷体_GB2312" w:eastAsia="楷体_GB2312" w:cs="仿宋_GB2312" w:hint="eastAsia"/>
          <w:b/>
          <w:sz w:val="32"/>
          <w:szCs w:val="32"/>
          <w:lang w:val="zh-CN"/>
        </w:rPr>
        <w:t>异常名录和严重失信修复</w:t>
      </w:r>
    </w:p>
    <w:p w:rsidR="00452CA6" w:rsidRPr="00511D3B" w:rsidRDefault="005C4945" w:rsidP="00452CA6">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sidRPr="00511D3B">
        <w:rPr>
          <w:rFonts w:ascii="仿宋_GB2312" w:eastAsia="仿宋_GB2312" w:hAnsi="Times New Roman" w:hint="eastAsia"/>
          <w:sz w:val="32"/>
          <w:szCs w:val="32"/>
        </w:rPr>
        <w:t>持续建构以信用监管为核心的新型监管体系，列入经营异常名录12648户次，在线办理移出经营异常名录3414户次，提前移出严重违法失信名单23户次</w:t>
      </w:r>
      <w:r w:rsidR="00452CA6" w:rsidRPr="00511D3B">
        <w:rPr>
          <w:rFonts w:ascii="仿宋_GB2312" w:eastAsia="仿宋_GB2312" w:hAnsi="Times New Roman" w:hint="eastAsia"/>
          <w:sz w:val="32"/>
          <w:szCs w:val="32"/>
        </w:rPr>
        <w:t>，积极鼓励市场主体纠正不良行为。</w:t>
      </w:r>
    </w:p>
    <w:p w:rsidR="00452CA6" w:rsidRPr="00511D3B" w:rsidRDefault="00452CA6" w:rsidP="00452CA6">
      <w:pPr>
        <w:pBdr>
          <w:top w:val="none" w:sz="0" w:space="0" w:color="000000"/>
          <w:left w:val="none" w:sz="0" w:space="0" w:color="000000"/>
          <w:bottom w:val="none" w:sz="0" w:space="22" w:color="000000"/>
          <w:right w:val="none" w:sz="0" w:space="0" w:color="000000"/>
        </w:pBdr>
        <w:autoSpaceDN w:val="0"/>
        <w:spacing w:line="580" w:lineRule="exact"/>
        <w:ind w:firstLineChars="200" w:firstLine="643"/>
        <w:contextualSpacing/>
        <w:textAlignment w:val="top"/>
        <w:rPr>
          <w:rFonts w:ascii="楷体_GB2312" w:eastAsia="楷体_GB2312" w:hAnsi="Times New Roman"/>
          <w:sz w:val="32"/>
          <w:szCs w:val="32"/>
        </w:rPr>
      </w:pPr>
      <w:r w:rsidRPr="00511D3B">
        <w:rPr>
          <w:rFonts w:ascii="楷体_GB2312" w:eastAsia="楷体_GB2312" w:hAnsi="楷体" w:cs="楷体" w:hint="eastAsia"/>
          <w:b/>
          <w:kern w:val="0"/>
          <w:sz w:val="32"/>
          <w:szCs w:val="32"/>
        </w:rPr>
        <w:t>（二）行政处罚信息修复</w:t>
      </w:r>
    </w:p>
    <w:p w:rsidR="00452CA6" w:rsidRPr="00511D3B" w:rsidRDefault="00452CA6" w:rsidP="005C4945">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sidRPr="00511D3B">
        <w:rPr>
          <w:rFonts w:ascii="仿宋_GB2312" w:eastAsia="仿宋_GB2312" w:hAnsi="Times New Roman" w:hint="eastAsia"/>
          <w:sz w:val="32"/>
          <w:szCs w:val="32"/>
        </w:rPr>
        <w:lastRenderedPageBreak/>
        <w:t>按照《关于完善行政处罚信息（</w:t>
      </w:r>
      <w:r w:rsidR="005C4945" w:rsidRPr="00511D3B">
        <w:rPr>
          <w:rFonts w:ascii="仿宋_GB2312" w:eastAsia="仿宋_GB2312" w:hAnsi="Times New Roman" w:hint="eastAsia"/>
          <w:sz w:val="32"/>
          <w:szCs w:val="32"/>
        </w:rPr>
        <w:t>市场监管领域）信用修复协同机制的工作指引（试行）》有关工作要求，落实“一口受理、协同修复”工作机制，2024年共为69户申请行政处罚信息信用修复的市场主体出具准予信用修复意见书。</w:t>
      </w:r>
    </w:p>
    <w:p w:rsidR="00452CA6" w:rsidRPr="00511D3B" w:rsidRDefault="00452CA6" w:rsidP="00452CA6">
      <w:pPr>
        <w:pBdr>
          <w:top w:val="none" w:sz="0" w:space="0" w:color="000000"/>
          <w:left w:val="none" w:sz="0" w:space="0" w:color="000000"/>
          <w:bottom w:val="none" w:sz="0" w:space="22" w:color="000000"/>
          <w:right w:val="none" w:sz="0" w:space="0" w:color="000000"/>
        </w:pBdr>
        <w:autoSpaceDN w:val="0"/>
        <w:spacing w:line="580" w:lineRule="exact"/>
        <w:ind w:firstLineChars="200" w:firstLine="643"/>
        <w:contextualSpacing/>
        <w:textAlignment w:val="top"/>
        <w:rPr>
          <w:rFonts w:ascii="楷体_GB2312" w:eastAsia="楷体_GB2312" w:hAnsi="Times New Roman"/>
          <w:sz w:val="32"/>
          <w:szCs w:val="32"/>
        </w:rPr>
      </w:pPr>
      <w:r w:rsidRPr="00511D3B">
        <w:rPr>
          <w:rFonts w:ascii="楷体_GB2312" w:eastAsia="楷体_GB2312" w:hAnsi="楷体" w:cs="楷体" w:hint="eastAsia"/>
          <w:b/>
          <w:kern w:val="0"/>
          <w:sz w:val="32"/>
          <w:szCs w:val="32"/>
        </w:rPr>
        <w:t>（三）身份信息冒用修复</w:t>
      </w:r>
    </w:p>
    <w:p w:rsidR="00452CA6" w:rsidRPr="00511D3B" w:rsidRDefault="005C4945" w:rsidP="005C4945">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jc w:val="left"/>
        <w:textAlignment w:val="top"/>
        <w:rPr>
          <w:rFonts w:ascii="黑体" w:eastAsia="黑体" w:hAnsi="黑体"/>
          <w:sz w:val="32"/>
          <w:szCs w:val="32"/>
        </w:rPr>
      </w:pPr>
      <w:r w:rsidRPr="00511D3B">
        <w:rPr>
          <w:rFonts w:ascii="仿宋_GB2312" w:eastAsia="仿宋_GB2312" w:hAnsi="Times New Roman" w:hint="eastAsia"/>
          <w:bCs/>
          <w:sz w:val="32"/>
          <w:szCs w:val="32"/>
        </w:rPr>
        <w:t>积极落实《天津市撤销冒用他人身份信息取得公司登记工作操作规程》，</w:t>
      </w:r>
      <w:r w:rsidRPr="00511D3B">
        <w:rPr>
          <w:rFonts w:ascii="仿宋_GB2312" w:eastAsia="仿宋_GB2312" w:hAnsi="Times New Roman" w:hint="eastAsia"/>
          <w:sz w:val="32"/>
          <w:szCs w:val="32"/>
        </w:rPr>
        <w:t>保护被冒用人合法权益，做好冒名身份撤销登记审核及工作</w:t>
      </w:r>
      <w:r w:rsidRPr="00511D3B">
        <w:rPr>
          <w:rFonts w:ascii="仿宋_GB2312" w:eastAsia="仿宋_GB2312" w:hAnsi="Times New Roman" w:hint="eastAsia"/>
          <w:bCs/>
          <w:sz w:val="32"/>
          <w:szCs w:val="32"/>
        </w:rPr>
        <w:t>政策指导，累计完成撤销冒名身份登记108例。</w:t>
      </w:r>
    </w:p>
    <w:p w:rsidR="00A955D9" w:rsidRPr="001710CC" w:rsidRDefault="00511D3B" w:rsidP="001710CC">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黑体" w:eastAsia="黑体" w:hAnsi="黑体"/>
          <w:sz w:val="32"/>
          <w:szCs w:val="32"/>
        </w:rPr>
      </w:pPr>
      <w:r w:rsidRPr="001710CC">
        <w:rPr>
          <w:rFonts w:ascii="黑体" w:eastAsia="黑体" w:hAnsi="黑体" w:hint="eastAsia"/>
          <w:sz w:val="32"/>
          <w:szCs w:val="32"/>
        </w:rPr>
        <w:t>五</w:t>
      </w:r>
      <w:r w:rsidR="00A955D9" w:rsidRPr="001710CC">
        <w:rPr>
          <w:rFonts w:ascii="黑体" w:eastAsia="黑体" w:hAnsi="黑体" w:hint="eastAsia"/>
          <w:sz w:val="32"/>
          <w:szCs w:val="32"/>
        </w:rPr>
        <w:t>、</w:t>
      </w:r>
      <w:r w:rsidR="00E255C7" w:rsidRPr="001710CC">
        <w:rPr>
          <w:rFonts w:ascii="黑体" w:eastAsia="黑体" w:hAnsi="黑体" w:hint="eastAsia"/>
          <w:bCs/>
          <w:sz w:val="32"/>
          <w:szCs w:val="32"/>
        </w:rPr>
        <w:t>全面提升数据质量</w:t>
      </w:r>
      <w:r w:rsidR="00FD359B" w:rsidRPr="001710CC">
        <w:rPr>
          <w:rFonts w:ascii="黑体" w:eastAsia="黑体" w:hAnsi="黑体" w:hint="eastAsia"/>
          <w:bCs/>
          <w:sz w:val="32"/>
          <w:szCs w:val="32"/>
        </w:rPr>
        <w:t>，有效释放社会资源</w:t>
      </w:r>
    </w:p>
    <w:p w:rsidR="00FD359B" w:rsidRPr="00AA41C0" w:rsidRDefault="00FD359B" w:rsidP="00AA41C0">
      <w:pPr>
        <w:pBdr>
          <w:top w:val="none" w:sz="0" w:space="0" w:color="000000"/>
          <w:left w:val="none" w:sz="0" w:space="0" w:color="000000"/>
          <w:bottom w:val="none" w:sz="0" w:space="22" w:color="000000"/>
          <w:right w:val="none" w:sz="0" w:space="0" w:color="000000"/>
        </w:pBdr>
        <w:autoSpaceDN w:val="0"/>
        <w:spacing w:line="600" w:lineRule="exact"/>
        <w:ind w:firstLineChars="200" w:firstLine="643"/>
        <w:contextualSpacing/>
        <w:textAlignment w:val="top"/>
        <w:rPr>
          <w:rFonts w:ascii="楷体_GB2312" w:eastAsia="楷体_GB2312" w:cs="仿宋_GB2312"/>
          <w:b/>
          <w:sz w:val="32"/>
          <w:szCs w:val="32"/>
          <w:lang w:val="zh-CN"/>
        </w:rPr>
      </w:pPr>
      <w:r w:rsidRPr="00AA41C0">
        <w:rPr>
          <w:rFonts w:ascii="楷体_GB2312" w:eastAsia="楷体_GB2312" w:cs="仿宋_GB2312" w:hint="eastAsia"/>
          <w:b/>
          <w:sz w:val="32"/>
          <w:szCs w:val="32"/>
          <w:lang w:val="zh-CN"/>
        </w:rPr>
        <w:t>（一）高标准完成数据质量全面提升行动</w:t>
      </w:r>
    </w:p>
    <w:p w:rsidR="00086099" w:rsidRDefault="00086099" w:rsidP="00E255C7">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sidRPr="00511D3B">
        <w:rPr>
          <w:rFonts w:ascii="仿宋_GB2312" w:eastAsia="仿宋_GB2312" w:hAnsi="Times New Roman"/>
          <w:sz w:val="32"/>
          <w:szCs w:val="32"/>
        </w:rPr>
        <w:t>通过系统监测、主动排查、社会反馈、第三方机构辅助信息抽查等</w:t>
      </w:r>
      <w:r w:rsidR="00FD359B">
        <w:rPr>
          <w:rFonts w:ascii="仿宋_GB2312" w:eastAsia="仿宋_GB2312" w:hAnsi="Times New Roman"/>
          <w:sz w:val="32"/>
          <w:szCs w:val="32"/>
        </w:rPr>
        <w:t>方式</w:t>
      </w:r>
      <w:r w:rsidRPr="00511D3B">
        <w:rPr>
          <w:rFonts w:ascii="仿宋_GB2312" w:eastAsia="仿宋_GB2312" w:hAnsi="Times New Roman"/>
          <w:sz w:val="32"/>
          <w:szCs w:val="32"/>
        </w:rPr>
        <w:t>，</w:t>
      </w:r>
      <w:r w:rsidRPr="00511D3B">
        <w:rPr>
          <w:rFonts w:ascii="仿宋_GB2312" w:eastAsia="仿宋_GB2312" w:hAnsi="Times New Roman" w:hint="eastAsia"/>
          <w:sz w:val="32"/>
          <w:szCs w:val="32"/>
        </w:rPr>
        <w:t>对企业信用监管数据进行全面排查、整改,规范数据采集、录入、审核、存储。累计归集共享各类行政管理信息近70万条、特定信用</w:t>
      </w:r>
      <w:proofErr w:type="gramStart"/>
      <w:r w:rsidRPr="00511D3B">
        <w:rPr>
          <w:rFonts w:ascii="仿宋_GB2312" w:eastAsia="仿宋_GB2312" w:hAnsi="Times New Roman" w:hint="eastAsia"/>
          <w:sz w:val="32"/>
          <w:szCs w:val="32"/>
        </w:rPr>
        <w:t>信息超</w:t>
      </w:r>
      <w:proofErr w:type="gramEnd"/>
      <w:r w:rsidRPr="00511D3B">
        <w:rPr>
          <w:rFonts w:ascii="仿宋_GB2312" w:eastAsia="仿宋_GB2312" w:hAnsi="Times New Roman" w:hint="eastAsia"/>
          <w:sz w:val="32"/>
          <w:szCs w:val="32"/>
        </w:rPr>
        <w:t>5万条，全面夯实企业信用监管数据质量基础。在</w:t>
      </w:r>
      <w:r w:rsidR="00FD359B">
        <w:rPr>
          <w:rFonts w:ascii="仿宋_GB2312" w:eastAsia="仿宋_GB2312" w:hAnsi="Times New Roman" w:hint="eastAsia"/>
          <w:sz w:val="32"/>
          <w:szCs w:val="32"/>
        </w:rPr>
        <w:t>全国市场监管系统</w:t>
      </w:r>
      <w:r w:rsidRPr="00511D3B">
        <w:rPr>
          <w:rFonts w:ascii="仿宋_GB2312" w:eastAsia="仿宋_GB2312" w:hAnsi="Times New Roman" w:hint="eastAsia"/>
          <w:sz w:val="32"/>
          <w:szCs w:val="32"/>
        </w:rPr>
        <w:t>企业信用监管数据质量全面提升行动工作中荣获“全国表现突出集体”称号。</w:t>
      </w:r>
    </w:p>
    <w:p w:rsidR="00F802C0" w:rsidRPr="00AA41C0" w:rsidRDefault="00FD359B" w:rsidP="00AA41C0">
      <w:pPr>
        <w:pBdr>
          <w:top w:val="none" w:sz="0" w:space="0" w:color="000000"/>
          <w:left w:val="none" w:sz="0" w:space="0" w:color="000000"/>
          <w:bottom w:val="none" w:sz="0" w:space="22" w:color="000000"/>
          <w:right w:val="none" w:sz="0" w:space="0" w:color="000000"/>
        </w:pBdr>
        <w:autoSpaceDN w:val="0"/>
        <w:spacing w:line="580" w:lineRule="exact"/>
        <w:ind w:firstLineChars="200" w:firstLine="643"/>
        <w:contextualSpacing/>
        <w:textAlignment w:val="top"/>
        <w:rPr>
          <w:rFonts w:ascii="楷体_GB2312" w:eastAsia="楷体_GB2312" w:hAnsi="楷体" w:cs="楷体"/>
          <w:b/>
          <w:kern w:val="0"/>
          <w:sz w:val="32"/>
          <w:szCs w:val="32"/>
        </w:rPr>
      </w:pPr>
      <w:r w:rsidRPr="00AA41C0">
        <w:rPr>
          <w:rFonts w:ascii="楷体_GB2312" w:eastAsia="楷体_GB2312" w:hAnsi="楷体" w:cs="楷体"/>
          <w:b/>
          <w:kern w:val="0"/>
          <w:sz w:val="32"/>
          <w:szCs w:val="32"/>
        </w:rPr>
        <w:t>（二）</w:t>
      </w:r>
      <w:r w:rsidR="00F802C0" w:rsidRPr="00AA41C0">
        <w:rPr>
          <w:rFonts w:ascii="楷体_GB2312" w:eastAsia="楷体_GB2312" w:hAnsi="楷体" w:cs="楷体" w:hint="eastAsia"/>
          <w:b/>
          <w:kern w:val="0"/>
          <w:sz w:val="32"/>
          <w:szCs w:val="32"/>
        </w:rPr>
        <w:t>清理长期停业未经营市场主体</w:t>
      </w:r>
    </w:p>
    <w:p w:rsidR="00A955D9" w:rsidRDefault="00F802C0" w:rsidP="00086099">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sidRPr="00511D3B">
        <w:rPr>
          <w:rFonts w:ascii="仿宋_GB2312" w:eastAsia="仿宋_GB2312" w:hAnsi="Times New Roman" w:hint="eastAsia"/>
          <w:sz w:val="32"/>
          <w:szCs w:val="32"/>
        </w:rPr>
        <w:t>对辖区范围内（包含各开发区）2963户涉嫌长期未经营企业、628户涉嫌登记事项变更未办理变更登记情节严重的个体工商户集中批量吊销，</w:t>
      </w:r>
      <w:r w:rsidRPr="00F802C0">
        <w:rPr>
          <w:rFonts w:ascii="仿宋_GB2312" w:eastAsia="仿宋_GB2312" w:hAnsi="Times New Roman" w:hint="eastAsia"/>
          <w:bCs/>
          <w:sz w:val="32"/>
          <w:szCs w:val="32"/>
        </w:rPr>
        <w:t>纠正市场主体总量数据失真情况</w:t>
      </w:r>
      <w:r w:rsidR="00A955D9" w:rsidRPr="00511D3B">
        <w:rPr>
          <w:rFonts w:ascii="仿宋_GB2312" w:eastAsia="仿宋_GB2312" w:hAnsi="Times New Roman" w:hint="eastAsia"/>
          <w:sz w:val="32"/>
          <w:szCs w:val="32"/>
        </w:rPr>
        <w:t>，维护区域市场主体</w:t>
      </w:r>
      <w:r w:rsidR="00A955D9" w:rsidRPr="00511D3B">
        <w:rPr>
          <w:rFonts w:ascii="仿宋_GB2312" w:eastAsia="仿宋_GB2312" w:hAnsi="Times New Roman" w:hint="eastAsia"/>
          <w:sz w:val="32"/>
          <w:szCs w:val="32"/>
        </w:rPr>
        <w:lastRenderedPageBreak/>
        <w:t>健康发展。</w:t>
      </w:r>
    </w:p>
    <w:p w:rsidR="00026184" w:rsidRPr="00026184" w:rsidRDefault="00026184" w:rsidP="00026184">
      <w:pPr>
        <w:pBdr>
          <w:top w:val="none" w:sz="0" w:space="0" w:color="000000"/>
          <w:left w:val="none" w:sz="0" w:space="0" w:color="000000"/>
          <w:bottom w:val="none" w:sz="0" w:space="22" w:color="000000"/>
          <w:right w:val="none" w:sz="0" w:space="0" w:color="000000"/>
        </w:pBdr>
        <w:autoSpaceDN w:val="0"/>
        <w:spacing w:line="580" w:lineRule="exact"/>
        <w:ind w:firstLineChars="200" w:firstLine="643"/>
        <w:contextualSpacing/>
        <w:textAlignment w:val="top"/>
        <w:rPr>
          <w:rFonts w:ascii="楷体_GB2312" w:eastAsia="楷体_GB2312" w:hAnsi="楷体" w:cs="楷体"/>
          <w:b/>
          <w:kern w:val="0"/>
          <w:sz w:val="32"/>
          <w:szCs w:val="32"/>
        </w:rPr>
      </w:pPr>
      <w:r w:rsidRPr="00026184">
        <w:rPr>
          <w:rFonts w:ascii="楷体_GB2312" w:eastAsia="楷体_GB2312" w:hAnsi="楷体" w:cs="楷体" w:hint="eastAsia"/>
          <w:b/>
          <w:kern w:val="0"/>
          <w:sz w:val="32"/>
          <w:szCs w:val="32"/>
        </w:rPr>
        <w:t>（三）率先试点除名制度</w:t>
      </w:r>
    </w:p>
    <w:p w:rsidR="00026184" w:rsidRPr="00511D3B" w:rsidRDefault="00026184" w:rsidP="00026184">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sidRPr="00026184">
        <w:rPr>
          <w:rFonts w:ascii="仿宋_GB2312" w:eastAsia="仿宋_GB2312" w:hAnsi="Times New Roman" w:hint="eastAsia"/>
          <w:sz w:val="32"/>
          <w:szCs w:val="32"/>
        </w:rPr>
        <w:t>天津自贸试验区在全市率先试点经营主体除名制度，对符合除名标记条件的经营主体，在国家企业信用信息公示系统和天津市市场主体信用信息公示系统中增加红色“已除名”标签，点击标签即可查看除名标记来源情形，有效防范交易风险。</w:t>
      </w:r>
      <w:r>
        <w:rPr>
          <w:rFonts w:ascii="仿宋_GB2312" w:eastAsia="仿宋_GB2312" w:hAnsi="Times New Roman" w:hint="eastAsia"/>
          <w:sz w:val="32"/>
          <w:szCs w:val="32"/>
        </w:rPr>
        <w:t>共</w:t>
      </w:r>
      <w:r w:rsidRPr="00026184">
        <w:rPr>
          <w:rFonts w:ascii="仿宋_GB2312" w:eastAsia="仿宋_GB2312" w:hAnsi="Times New Roman" w:hint="eastAsia"/>
          <w:sz w:val="32"/>
          <w:szCs w:val="32"/>
        </w:rPr>
        <w:t>筛选核查经营主体12374户</w:t>
      </w:r>
      <w:r>
        <w:rPr>
          <w:rFonts w:ascii="仿宋_GB2312" w:eastAsia="仿宋_GB2312" w:hAnsi="Times New Roman" w:hint="eastAsia"/>
          <w:sz w:val="32"/>
          <w:szCs w:val="32"/>
        </w:rPr>
        <w:t>。</w:t>
      </w:r>
    </w:p>
    <w:p w:rsidR="00452CA6" w:rsidRPr="00511D3B" w:rsidRDefault="00511D3B" w:rsidP="00452CA6">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黑体" w:eastAsia="黑体" w:hAnsi="黑体"/>
          <w:sz w:val="32"/>
          <w:szCs w:val="32"/>
        </w:rPr>
      </w:pPr>
      <w:r>
        <w:rPr>
          <w:rFonts w:ascii="黑体" w:eastAsia="黑体" w:hAnsi="黑体" w:cs="黑体" w:hint="eastAsia"/>
          <w:sz w:val="32"/>
          <w:szCs w:val="32"/>
        </w:rPr>
        <w:t>六</w:t>
      </w:r>
      <w:r w:rsidR="00452CA6" w:rsidRPr="00511D3B">
        <w:rPr>
          <w:rFonts w:ascii="黑体" w:eastAsia="黑体" w:hAnsi="黑体" w:cs="黑体" w:hint="eastAsia"/>
          <w:sz w:val="32"/>
          <w:szCs w:val="32"/>
        </w:rPr>
        <w:t>、</w:t>
      </w:r>
      <w:r w:rsidR="00452CA6" w:rsidRPr="00511D3B">
        <w:rPr>
          <w:rFonts w:ascii="黑体" w:eastAsia="黑体" w:hAnsi="黑体" w:hint="eastAsia"/>
          <w:sz w:val="32"/>
          <w:szCs w:val="32"/>
        </w:rPr>
        <w:t>影响市场主体信用的原因分析</w:t>
      </w:r>
    </w:p>
    <w:p w:rsidR="0056143C" w:rsidRDefault="0056143C" w:rsidP="0056143C">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Pr>
          <w:rFonts w:ascii="仿宋_GB2312" w:eastAsia="仿宋_GB2312" w:hAnsi="Times New Roman" w:hint="eastAsia"/>
          <w:sz w:val="32"/>
          <w:szCs w:val="32"/>
        </w:rPr>
        <w:t>一是</w:t>
      </w:r>
      <w:r w:rsidRPr="0056143C">
        <w:rPr>
          <w:rFonts w:ascii="仿宋_GB2312" w:eastAsia="仿宋_GB2312" w:hAnsi="Times New Roman" w:hint="eastAsia"/>
          <w:sz w:val="32"/>
          <w:szCs w:val="32"/>
        </w:rPr>
        <w:t>部分经营主体对自身信用的重视程度不够高，风险意识欠缺。如今各类经营主体登记注册日益便捷，经营主体总量增速快，其中部分主体注册后，发展未达预期，便直接退出市场，并未办理注销手续，逐渐变为“僵尸”主体，自身信用逐年下滑。</w:t>
      </w:r>
    </w:p>
    <w:p w:rsidR="0056143C" w:rsidRPr="00511D3B" w:rsidRDefault="008F6583" w:rsidP="0056143C">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Pr>
          <w:rFonts w:ascii="仿宋_GB2312" w:eastAsia="仿宋_GB2312" w:hAnsi="Times New Roman" w:hint="eastAsia"/>
          <w:sz w:val="32"/>
          <w:szCs w:val="32"/>
        </w:rPr>
        <w:t>二</w:t>
      </w:r>
      <w:r w:rsidR="0056143C" w:rsidRPr="00511D3B">
        <w:rPr>
          <w:rFonts w:ascii="仿宋_GB2312" w:eastAsia="仿宋_GB2312" w:hAnsi="Times New Roman" w:hint="eastAsia"/>
          <w:sz w:val="32"/>
          <w:szCs w:val="32"/>
        </w:rPr>
        <w:t>是部分市场主体自身规模、经营模式、经营者素质等存在差异，导致其守法意识不高</w:t>
      </w:r>
      <w:r w:rsidR="0056143C">
        <w:rPr>
          <w:rFonts w:ascii="仿宋_GB2312" w:eastAsia="仿宋_GB2312" w:hAnsi="Times New Roman" w:hint="eastAsia"/>
          <w:sz w:val="32"/>
          <w:szCs w:val="32"/>
        </w:rPr>
        <w:t>，因未及时进行年报公示或</w:t>
      </w:r>
      <w:r w:rsidR="0056143C" w:rsidRPr="00511D3B">
        <w:rPr>
          <w:rFonts w:ascii="仿宋_GB2312" w:eastAsia="仿宋_GB2312" w:hAnsi="Times New Roman" w:hint="eastAsia"/>
          <w:sz w:val="32"/>
          <w:szCs w:val="32"/>
        </w:rPr>
        <w:t>经营场所发生变更未办理变更登记</w:t>
      </w:r>
      <w:r w:rsidR="0056143C">
        <w:rPr>
          <w:rFonts w:ascii="仿宋_GB2312" w:eastAsia="仿宋_GB2312" w:hAnsi="Times New Roman" w:hint="eastAsia"/>
          <w:sz w:val="32"/>
          <w:szCs w:val="32"/>
        </w:rPr>
        <w:t>等行为</w:t>
      </w:r>
      <w:r w:rsidR="0056143C" w:rsidRPr="00511D3B">
        <w:rPr>
          <w:rFonts w:ascii="仿宋_GB2312" w:eastAsia="仿宋_GB2312" w:hAnsi="Times New Roman" w:hint="eastAsia"/>
          <w:sz w:val="32"/>
          <w:szCs w:val="32"/>
        </w:rPr>
        <w:t>，给自身信用带来不良影响。</w:t>
      </w:r>
    </w:p>
    <w:p w:rsidR="008F6583" w:rsidRDefault="008F6583" w:rsidP="001D3667">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Pr>
          <w:rFonts w:ascii="仿宋_GB2312" w:eastAsia="仿宋_GB2312" w:hAnsi="Times New Roman" w:hint="eastAsia"/>
          <w:sz w:val="32"/>
          <w:szCs w:val="32"/>
        </w:rPr>
        <w:t>三</w:t>
      </w:r>
      <w:r w:rsidR="0056143C" w:rsidRPr="00511D3B">
        <w:rPr>
          <w:rFonts w:ascii="仿宋_GB2312" w:eastAsia="仿宋_GB2312" w:hAnsi="Times New Roman" w:hint="eastAsia"/>
          <w:sz w:val="32"/>
          <w:szCs w:val="32"/>
        </w:rPr>
        <w:t>是</w:t>
      </w:r>
      <w:r w:rsidR="0056143C" w:rsidRPr="007547BD">
        <w:rPr>
          <w:rFonts w:ascii="仿宋_GB2312" w:eastAsia="仿宋_GB2312" w:hAnsi="Times New Roman" w:hint="eastAsia"/>
          <w:sz w:val="32"/>
          <w:szCs w:val="32"/>
        </w:rPr>
        <w:t>部分市场主体缺乏信用修复意识。</w:t>
      </w:r>
      <w:r w:rsidR="0056143C">
        <w:rPr>
          <w:rFonts w:ascii="仿宋_GB2312" w:eastAsia="仿宋_GB2312" w:hAnsi="Times New Roman" w:hint="eastAsia"/>
          <w:sz w:val="32"/>
          <w:szCs w:val="32"/>
        </w:rPr>
        <w:t>例</w:t>
      </w:r>
      <w:r w:rsidR="0056143C" w:rsidRPr="00511D3B">
        <w:rPr>
          <w:rFonts w:ascii="仿宋_GB2312" w:eastAsia="仿宋_GB2312" w:hAnsi="Times New Roman" w:hint="eastAsia"/>
          <w:sz w:val="32"/>
          <w:szCs w:val="32"/>
        </w:rPr>
        <w:t>如企业因违法违规</w:t>
      </w:r>
      <w:r w:rsidRPr="008F6583">
        <w:rPr>
          <w:rFonts w:ascii="仿宋_GB2312" w:eastAsia="仿宋_GB2312" w:hAnsi="Times New Roman" w:hint="eastAsia"/>
          <w:sz w:val="32"/>
          <w:szCs w:val="32"/>
        </w:rPr>
        <w:t>被处罚后，以为缴纳罚款</w:t>
      </w:r>
      <w:r>
        <w:rPr>
          <w:rFonts w:ascii="仿宋_GB2312" w:eastAsia="仿宋_GB2312" w:hAnsi="Times New Roman" w:hint="eastAsia"/>
          <w:sz w:val="32"/>
          <w:szCs w:val="32"/>
        </w:rPr>
        <w:t>就可以</w:t>
      </w:r>
      <w:r w:rsidRPr="008F6583">
        <w:rPr>
          <w:rFonts w:ascii="仿宋_GB2312" w:eastAsia="仿宋_GB2312" w:hAnsi="Times New Roman" w:hint="eastAsia"/>
          <w:sz w:val="32"/>
          <w:szCs w:val="32"/>
        </w:rPr>
        <w:t>，</w:t>
      </w:r>
      <w:r w:rsidR="0056143C" w:rsidRPr="00511D3B">
        <w:rPr>
          <w:rFonts w:ascii="仿宋_GB2312" w:eastAsia="仿宋_GB2312" w:hAnsi="Times New Roman" w:hint="eastAsia"/>
          <w:sz w:val="32"/>
          <w:szCs w:val="32"/>
        </w:rPr>
        <w:t>未及时进行信用修复，导致企业在经营活动中受到进一步约束</w:t>
      </w:r>
      <w:r w:rsidR="0056143C">
        <w:rPr>
          <w:rFonts w:ascii="仿宋_GB2312" w:eastAsia="仿宋_GB2312" w:hAnsi="Times New Roman" w:hint="eastAsia"/>
          <w:sz w:val="32"/>
          <w:szCs w:val="32"/>
        </w:rPr>
        <w:t>。</w:t>
      </w:r>
    </w:p>
    <w:p w:rsidR="004F125B" w:rsidRPr="004F125B" w:rsidRDefault="00452CA6" w:rsidP="004F125B">
      <w:pPr>
        <w:pBdr>
          <w:top w:val="none" w:sz="0" w:space="0" w:color="000000"/>
          <w:left w:val="none" w:sz="0" w:space="0" w:color="000000"/>
          <w:bottom w:val="none" w:sz="0" w:space="22" w:color="000000"/>
          <w:right w:val="none" w:sz="0" w:space="0" w:color="000000"/>
        </w:pBdr>
        <w:autoSpaceDN w:val="0"/>
        <w:spacing w:line="580" w:lineRule="exact"/>
        <w:ind w:firstLineChars="200" w:firstLine="640"/>
        <w:contextualSpacing/>
        <w:textAlignment w:val="top"/>
        <w:rPr>
          <w:rFonts w:ascii="仿宋_GB2312" w:eastAsia="仿宋_GB2312" w:hAnsi="Times New Roman"/>
          <w:sz w:val="32"/>
          <w:szCs w:val="32"/>
        </w:rPr>
      </w:pPr>
      <w:r w:rsidRPr="00511D3B">
        <w:rPr>
          <w:rFonts w:ascii="仿宋_GB2312" w:eastAsia="仿宋_GB2312" w:hAnsi="Times New Roman" w:hint="eastAsia"/>
          <w:sz w:val="32"/>
          <w:szCs w:val="32"/>
        </w:rPr>
        <w:t>下一步，</w:t>
      </w:r>
      <w:r w:rsidR="00902ACB" w:rsidRPr="00511D3B">
        <w:rPr>
          <w:rFonts w:ascii="仿宋_GB2312" w:eastAsia="仿宋_GB2312" w:hAnsi="Times New Roman" w:hint="eastAsia"/>
          <w:sz w:val="32"/>
          <w:szCs w:val="32"/>
        </w:rPr>
        <w:t>滨海新区市场监管局</w:t>
      </w:r>
      <w:r w:rsidR="004F125B">
        <w:rPr>
          <w:rFonts w:ascii="仿宋_GB2312" w:eastAsia="仿宋_GB2312" w:hAnsi="Times New Roman" w:hint="eastAsia"/>
          <w:sz w:val="32"/>
          <w:szCs w:val="32"/>
        </w:rPr>
        <w:t>将</w:t>
      </w:r>
      <w:r w:rsidR="009417C1" w:rsidRPr="00511D3B">
        <w:rPr>
          <w:rFonts w:ascii="仿宋_GB2312" w:eastAsia="仿宋_GB2312" w:hAnsi="Times New Roman" w:hint="eastAsia"/>
          <w:sz w:val="32"/>
          <w:szCs w:val="32"/>
        </w:rPr>
        <w:t>进一步拓展政策宣传，强调违反相关法律法规的后果和影响，</w:t>
      </w:r>
      <w:r w:rsidR="004F125B" w:rsidRPr="004F125B">
        <w:rPr>
          <w:rFonts w:ascii="仿宋_GB2312" w:eastAsia="仿宋_GB2312" w:hAnsi="Times New Roman" w:hint="eastAsia"/>
          <w:sz w:val="32"/>
          <w:szCs w:val="32"/>
        </w:rPr>
        <w:t>发挥信用</w:t>
      </w:r>
      <w:r w:rsidR="004F125B">
        <w:rPr>
          <w:rFonts w:ascii="仿宋_GB2312" w:eastAsia="仿宋_GB2312" w:hAnsi="Times New Roman" w:hint="eastAsia"/>
          <w:sz w:val="32"/>
          <w:szCs w:val="32"/>
        </w:rPr>
        <w:t>监管</w:t>
      </w:r>
      <w:r w:rsidR="004F125B" w:rsidRPr="004F125B">
        <w:rPr>
          <w:rFonts w:ascii="仿宋_GB2312" w:eastAsia="仿宋_GB2312" w:hAnsi="Times New Roman" w:hint="eastAsia"/>
          <w:sz w:val="32"/>
          <w:szCs w:val="32"/>
        </w:rPr>
        <w:t>对提高经营主体诚信意识、提升经营活力的积极作用，为加快发展新质生产力，</w:t>
      </w:r>
      <w:r w:rsidR="004F125B" w:rsidRPr="004F125B">
        <w:rPr>
          <w:rFonts w:ascii="仿宋_GB2312" w:eastAsia="仿宋_GB2312" w:hAnsi="Times New Roman" w:hint="eastAsia"/>
          <w:sz w:val="32"/>
          <w:szCs w:val="32"/>
        </w:rPr>
        <w:lastRenderedPageBreak/>
        <w:t>推动滨海新区高质量发展营造更好的社会环境。</w:t>
      </w:r>
      <w:bookmarkStart w:id="0" w:name="_GoBack"/>
      <w:bookmarkEnd w:id="0"/>
    </w:p>
    <w:sectPr w:rsidR="004F125B" w:rsidRPr="004F125B" w:rsidSect="00EE68EC">
      <w:headerReference w:type="default" r:id="rId14"/>
      <w:footerReference w:type="even" r:id="rId15"/>
      <w:footerReference w:type="default" r:id="rId16"/>
      <w:footerReference w:type="first" r:id="rId17"/>
      <w:pgSz w:w="11906" w:h="16838" w:code="9"/>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AF" w:rsidRDefault="007F67AF" w:rsidP="00452CA6">
      <w:r>
        <w:separator/>
      </w:r>
    </w:p>
  </w:endnote>
  <w:endnote w:type="continuationSeparator" w:id="0">
    <w:p w:rsidR="007F67AF" w:rsidRDefault="007F67AF" w:rsidP="0045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0" w:type="pct"/>
      <w:tblBorders>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1361"/>
    </w:tblGrid>
    <w:tr w:rsidR="0064003D" w:rsidTr="0064003D">
      <w:tc>
        <w:tcPr>
          <w:tcW w:w="5000" w:type="pct"/>
        </w:tcPr>
        <w:p w:rsidR="0064003D" w:rsidRPr="00F9585C" w:rsidRDefault="007027A8">
          <w:pPr>
            <w:pStyle w:val="a4"/>
            <w:jc w:val="right"/>
            <w:rPr>
              <w:rFonts w:ascii="宋体" w:hAnsi="宋体"/>
              <w:color w:val="4F81BD"/>
              <w:sz w:val="28"/>
              <w:szCs w:val="28"/>
            </w:rPr>
          </w:pPr>
          <w:r w:rsidRPr="00F9585C">
            <w:rPr>
              <w:rFonts w:ascii="宋体" w:hAnsi="宋体"/>
              <w:sz w:val="28"/>
              <w:szCs w:val="28"/>
            </w:rPr>
            <w:fldChar w:fldCharType="begin"/>
          </w:r>
          <w:r w:rsidRPr="00F9585C">
            <w:rPr>
              <w:rFonts w:ascii="宋体" w:hAnsi="宋体"/>
              <w:sz w:val="28"/>
              <w:szCs w:val="28"/>
            </w:rPr>
            <w:instrText xml:space="preserve"> PAGE   \* MERGEFORMAT </w:instrText>
          </w:r>
          <w:r w:rsidRPr="00F9585C">
            <w:rPr>
              <w:rFonts w:ascii="宋体" w:hAnsi="宋体"/>
              <w:sz w:val="28"/>
              <w:szCs w:val="28"/>
            </w:rPr>
            <w:fldChar w:fldCharType="separate"/>
          </w:r>
          <w:r w:rsidRPr="00D573B4">
            <w:rPr>
              <w:rFonts w:ascii="宋体" w:hAnsi="宋体"/>
              <w:noProof/>
              <w:color w:val="4F81BD"/>
              <w:sz w:val="28"/>
              <w:szCs w:val="28"/>
              <w:lang w:val="zh-CN"/>
            </w:rPr>
            <w:t>-</w:t>
          </w:r>
          <w:r>
            <w:rPr>
              <w:rFonts w:ascii="宋体" w:hAnsi="宋体"/>
              <w:noProof/>
              <w:sz w:val="28"/>
              <w:szCs w:val="28"/>
            </w:rPr>
            <w:t xml:space="preserve"> 8 -</w:t>
          </w:r>
          <w:r w:rsidRPr="00F9585C">
            <w:rPr>
              <w:rFonts w:ascii="宋体" w:hAnsi="宋体"/>
              <w:sz w:val="28"/>
              <w:szCs w:val="28"/>
            </w:rPr>
            <w:fldChar w:fldCharType="end"/>
          </w:r>
        </w:p>
      </w:tc>
    </w:tr>
  </w:tbl>
  <w:p w:rsidR="000F6E49" w:rsidRDefault="00172394" w:rsidP="000F6E4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26" w:rsidRPr="007C6326" w:rsidRDefault="007027A8">
    <w:pPr>
      <w:pStyle w:val="a4"/>
      <w:jc w:val="right"/>
      <w:rPr>
        <w:rFonts w:ascii="宋体" w:hAnsi="宋体"/>
        <w:sz w:val="28"/>
        <w:szCs w:val="28"/>
      </w:rPr>
    </w:pPr>
    <w:r w:rsidRPr="007C6326">
      <w:rPr>
        <w:rFonts w:ascii="宋体" w:hAnsi="宋体"/>
        <w:sz w:val="28"/>
        <w:szCs w:val="28"/>
      </w:rPr>
      <w:fldChar w:fldCharType="begin"/>
    </w:r>
    <w:r w:rsidRPr="007C6326">
      <w:rPr>
        <w:rFonts w:ascii="宋体" w:hAnsi="宋体"/>
        <w:sz w:val="28"/>
        <w:szCs w:val="28"/>
      </w:rPr>
      <w:instrText xml:space="preserve"> PAGE   \* MERGEFORMAT </w:instrText>
    </w:r>
    <w:r w:rsidRPr="007C6326">
      <w:rPr>
        <w:rFonts w:ascii="宋体" w:hAnsi="宋体"/>
        <w:sz w:val="28"/>
        <w:szCs w:val="28"/>
      </w:rPr>
      <w:fldChar w:fldCharType="separate"/>
    </w:r>
    <w:r w:rsidR="00172394" w:rsidRPr="00172394">
      <w:rPr>
        <w:rFonts w:ascii="宋体" w:hAnsi="宋体"/>
        <w:noProof/>
        <w:sz w:val="28"/>
        <w:szCs w:val="28"/>
        <w:lang w:val="zh-CN"/>
      </w:rPr>
      <w:t>-</w:t>
    </w:r>
    <w:r w:rsidR="00172394">
      <w:rPr>
        <w:rFonts w:ascii="宋体" w:hAnsi="宋体"/>
        <w:noProof/>
        <w:sz w:val="28"/>
        <w:szCs w:val="28"/>
      </w:rPr>
      <w:t xml:space="preserve"> 7 -</w:t>
    </w:r>
    <w:r w:rsidRPr="007C6326">
      <w:rPr>
        <w:rFonts w:ascii="宋体" w:hAnsi="宋体"/>
        <w:sz w:val="28"/>
        <w:szCs w:val="28"/>
      </w:rPr>
      <w:fldChar w:fldCharType="end"/>
    </w:r>
  </w:p>
  <w:p w:rsidR="000F6E49" w:rsidRDefault="00172394" w:rsidP="000F6E49">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56" w:rsidRPr="00B95F17" w:rsidRDefault="007027A8" w:rsidP="004C2E56">
    <w:pPr>
      <w:pStyle w:val="a4"/>
      <w:tabs>
        <w:tab w:val="left" w:pos="720"/>
      </w:tabs>
      <w:rPr>
        <w:rStyle w:val="a5"/>
        <w:sz w:val="24"/>
        <w:szCs w:val="24"/>
      </w:rPr>
    </w:pPr>
    <w:r>
      <w:rPr>
        <w:rFonts w:hint="eastAsia"/>
      </w:rPr>
      <w:t xml:space="preserve">                                                                                     </w:t>
    </w:r>
    <w:r w:rsidRPr="00AA68C0">
      <w:rPr>
        <w:rStyle w:val="a5"/>
        <w:sz w:val="28"/>
        <w:szCs w:val="28"/>
      </w:rPr>
      <w:t>—</w:t>
    </w:r>
    <w:r>
      <w:rPr>
        <w:rStyle w:val="a5"/>
        <w:rFonts w:hint="eastAsia"/>
        <w:sz w:val="28"/>
        <w:szCs w:val="28"/>
      </w:rPr>
      <w:t>1</w:t>
    </w:r>
    <w:r w:rsidRPr="00AA68C0">
      <w:rPr>
        <w:rStyle w:val="a5"/>
        <w:sz w:val="28"/>
        <w:szCs w:val="28"/>
      </w:rPr>
      <w:t>—</w:t>
    </w:r>
  </w:p>
  <w:p w:rsidR="00603591" w:rsidRPr="00B95F17" w:rsidRDefault="00172394" w:rsidP="00603591">
    <w:pPr>
      <w:pStyle w:val="a4"/>
      <w:tabs>
        <w:tab w:val="left" w:pos="720"/>
      </w:tabs>
      <w:rPr>
        <w:rStyle w:val="a5"/>
        <w:sz w:val="24"/>
        <w:szCs w:val="24"/>
      </w:rPr>
    </w:pPr>
  </w:p>
  <w:p w:rsidR="00603591" w:rsidRDefault="001723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AF" w:rsidRDefault="007F67AF" w:rsidP="00452CA6">
      <w:r>
        <w:separator/>
      </w:r>
    </w:p>
  </w:footnote>
  <w:footnote w:type="continuationSeparator" w:id="0">
    <w:p w:rsidR="007F67AF" w:rsidRDefault="007F67AF" w:rsidP="00452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E56" w:rsidRPr="00905B2B" w:rsidRDefault="00172394" w:rsidP="00905B2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38"/>
    <w:rsid w:val="000020F2"/>
    <w:rsid w:val="00002A8F"/>
    <w:rsid w:val="000059A0"/>
    <w:rsid w:val="0000623A"/>
    <w:rsid w:val="00026184"/>
    <w:rsid w:val="000549FC"/>
    <w:rsid w:val="00057444"/>
    <w:rsid w:val="000637E2"/>
    <w:rsid w:val="00086099"/>
    <w:rsid w:val="000946A4"/>
    <w:rsid w:val="000A6538"/>
    <w:rsid w:val="000B6CFA"/>
    <w:rsid w:val="000E0034"/>
    <w:rsid w:val="000E510A"/>
    <w:rsid w:val="000F767B"/>
    <w:rsid w:val="00132EC8"/>
    <w:rsid w:val="001710CC"/>
    <w:rsid w:val="00172394"/>
    <w:rsid w:val="00173829"/>
    <w:rsid w:val="001A5D35"/>
    <w:rsid w:val="001B427B"/>
    <w:rsid w:val="001D3667"/>
    <w:rsid w:val="001D5FE4"/>
    <w:rsid w:val="001E0958"/>
    <w:rsid w:val="002079CB"/>
    <w:rsid w:val="002156B9"/>
    <w:rsid w:val="00225C48"/>
    <w:rsid w:val="0024621C"/>
    <w:rsid w:val="00257747"/>
    <w:rsid w:val="00290BA4"/>
    <w:rsid w:val="002B02FE"/>
    <w:rsid w:val="00344B35"/>
    <w:rsid w:val="00356970"/>
    <w:rsid w:val="00385F80"/>
    <w:rsid w:val="003B02FA"/>
    <w:rsid w:val="003F0E3B"/>
    <w:rsid w:val="00452CA6"/>
    <w:rsid w:val="00480E64"/>
    <w:rsid w:val="00487A5E"/>
    <w:rsid w:val="004A1764"/>
    <w:rsid w:val="004F125B"/>
    <w:rsid w:val="005033B3"/>
    <w:rsid w:val="00511D3B"/>
    <w:rsid w:val="005326CC"/>
    <w:rsid w:val="0056143C"/>
    <w:rsid w:val="005827EA"/>
    <w:rsid w:val="00591637"/>
    <w:rsid w:val="005A2716"/>
    <w:rsid w:val="005C4945"/>
    <w:rsid w:val="005D0229"/>
    <w:rsid w:val="00615D35"/>
    <w:rsid w:val="00656D90"/>
    <w:rsid w:val="00663B5A"/>
    <w:rsid w:val="006D76DD"/>
    <w:rsid w:val="006E3B7F"/>
    <w:rsid w:val="00701F5F"/>
    <w:rsid w:val="007027A8"/>
    <w:rsid w:val="00713EBD"/>
    <w:rsid w:val="00722B99"/>
    <w:rsid w:val="007547BD"/>
    <w:rsid w:val="0077014B"/>
    <w:rsid w:val="00772DB1"/>
    <w:rsid w:val="00774106"/>
    <w:rsid w:val="007853BF"/>
    <w:rsid w:val="007A127A"/>
    <w:rsid w:val="007F67AF"/>
    <w:rsid w:val="0081101F"/>
    <w:rsid w:val="008170CF"/>
    <w:rsid w:val="00835861"/>
    <w:rsid w:val="008511F3"/>
    <w:rsid w:val="00861A48"/>
    <w:rsid w:val="00884405"/>
    <w:rsid w:val="00890798"/>
    <w:rsid w:val="008C78E5"/>
    <w:rsid w:val="008F6583"/>
    <w:rsid w:val="00902ACB"/>
    <w:rsid w:val="009417C1"/>
    <w:rsid w:val="00944944"/>
    <w:rsid w:val="009762C5"/>
    <w:rsid w:val="009A2F69"/>
    <w:rsid w:val="009F19FD"/>
    <w:rsid w:val="00A11C7A"/>
    <w:rsid w:val="00A129F9"/>
    <w:rsid w:val="00A3780C"/>
    <w:rsid w:val="00A53419"/>
    <w:rsid w:val="00A8112E"/>
    <w:rsid w:val="00A955D9"/>
    <w:rsid w:val="00AA41C0"/>
    <w:rsid w:val="00AD063C"/>
    <w:rsid w:val="00AF5C1E"/>
    <w:rsid w:val="00B173FC"/>
    <w:rsid w:val="00B57402"/>
    <w:rsid w:val="00B61D47"/>
    <w:rsid w:val="00B8284E"/>
    <w:rsid w:val="00BB34D3"/>
    <w:rsid w:val="00BD6F9A"/>
    <w:rsid w:val="00BE63FC"/>
    <w:rsid w:val="00C03058"/>
    <w:rsid w:val="00C25ACB"/>
    <w:rsid w:val="00C50D69"/>
    <w:rsid w:val="00C53CDF"/>
    <w:rsid w:val="00D35A27"/>
    <w:rsid w:val="00D87EB0"/>
    <w:rsid w:val="00E255C7"/>
    <w:rsid w:val="00E31B67"/>
    <w:rsid w:val="00E34361"/>
    <w:rsid w:val="00E52DE5"/>
    <w:rsid w:val="00E6750E"/>
    <w:rsid w:val="00ED0BB1"/>
    <w:rsid w:val="00F0516D"/>
    <w:rsid w:val="00F13A00"/>
    <w:rsid w:val="00F802C0"/>
    <w:rsid w:val="00F8248A"/>
    <w:rsid w:val="00FA6EEB"/>
    <w:rsid w:val="00FB257E"/>
    <w:rsid w:val="00FC66A2"/>
    <w:rsid w:val="00FD3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CA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2C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52CA6"/>
    <w:rPr>
      <w:sz w:val="18"/>
      <w:szCs w:val="18"/>
    </w:rPr>
  </w:style>
  <w:style w:type="paragraph" w:styleId="a4">
    <w:name w:val="footer"/>
    <w:basedOn w:val="a"/>
    <w:link w:val="Char0"/>
    <w:uiPriority w:val="99"/>
    <w:unhideWhenUsed/>
    <w:rsid w:val="00452C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52CA6"/>
    <w:rPr>
      <w:sz w:val="18"/>
      <w:szCs w:val="18"/>
    </w:rPr>
  </w:style>
  <w:style w:type="character" w:styleId="a5">
    <w:name w:val="page number"/>
    <w:basedOn w:val="a0"/>
    <w:rsid w:val="00452CA6"/>
  </w:style>
  <w:style w:type="paragraph" w:styleId="a6">
    <w:name w:val="Balloon Text"/>
    <w:basedOn w:val="a"/>
    <w:link w:val="Char1"/>
    <w:uiPriority w:val="99"/>
    <w:semiHidden/>
    <w:unhideWhenUsed/>
    <w:rsid w:val="000020F2"/>
    <w:rPr>
      <w:sz w:val="18"/>
      <w:szCs w:val="18"/>
    </w:rPr>
  </w:style>
  <w:style w:type="character" w:customStyle="1" w:styleId="Char1">
    <w:name w:val="批注框文本 Char"/>
    <w:basedOn w:val="a0"/>
    <w:link w:val="a6"/>
    <w:uiPriority w:val="99"/>
    <w:semiHidden/>
    <w:rsid w:val="000020F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CA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2C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52CA6"/>
    <w:rPr>
      <w:sz w:val="18"/>
      <w:szCs w:val="18"/>
    </w:rPr>
  </w:style>
  <w:style w:type="paragraph" w:styleId="a4">
    <w:name w:val="footer"/>
    <w:basedOn w:val="a"/>
    <w:link w:val="Char0"/>
    <w:uiPriority w:val="99"/>
    <w:unhideWhenUsed/>
    <w:rsid w:val="00452C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52CA6"/>
    <w:rPr>
      <w:sz w:val="18"/>
      <w:szCs w:val="18"/>
    </w:rPr>
  </w:style>
  <w:style w:type="character" w:styleId="a5">
    <w:name w:val="page number"/>
    <w:basedOn w:val="a0"/>
    <w:rsid w:val="00452CA6"/>
  </w:style>
  <w:style w:type="paragraph" w:styleId="a6">
    <w:name w:val="Balloon Text"/>
    <w:basedOn w:val="a"/>
    <w:link w:val="Char1"/>
    <w:uiPriority w:val="99"/>
    <w:semiHidden/>
    <w:unhideWhenUsed/>
    <w:rsid w:val="000020F2"/>
    <w:rPr>
      <w:sz w:val="18"/>
      <w:szCs w:val="18"/>
    </w:rPr>
  </w:style>
  <w:style w:type="character" w:customStyle="1" w:styleId="Char1">
    <w:name w:val="批注框文本 Char"/>
    <w:basedOn w:val="a0"/>
    <w:link w:val="a6"/>
    <w:uiPriority w:val="99"/>
    <w:semiHidden/>
    <w:rsid w:val="000020F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600599">
      <w:bodyDiv w:val="1"/>
      <w:marLeft w:val="0"/>
      <w:marRight w:val="0"/>
      <w:marTop w:val="0"/>
      <w:marBottom w:val="0"/>
      <w:divBdr>
        <w:top w:val="none" w:sz="0" w:space="0" w:color="auto"/>
        <w:left w:val="none" w:sz="0" w:space="0" w:color="auto"/>
        <w:bottom w:val="none" w:sz="0" w:space="0" w:color="auto"/>
        <w:right w:val="none" w:sz="0" w:space="0" w:color="auto"/>
      </w:divBdr>
    </w:div>
    <w:div w:id="153229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___3.xls"/><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___2.xls"/><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___1.xls"/><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A1500-3A6C-4D63-84C2-5D395278A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王旭</dc:creator>
  <cp:lastModifiedBy> </cp:lastModifiedBy>
  <cp:revision>10</cp:revision>
  <dcterms:created xsi:type="dcterms:W3CDTF">2025-01-27T06:20:00Z</dcterms:created>
  <dcterms:modified xsi:type="dcterms:W3CDTF">2025-02-11T02:45:00Z</dcterms:modified>
</cp:coreProperties>
</file>